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D4F97CD"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AF4814">
        <w:rPr>
          <w:rFonts w:cs="Arial"/>
          <w:sz w:val="24"/>
          <w:szCs w:val="24"/>
          <w:lang w:val="de-DE"/>
        </w:rPr>
        <w:t>3</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w:t>
      </w:r>
      <w:r w:rsidR="00542CAE">
        <w:rPr>
          <w:noProof w:val="0"/>
          <w:sz w:val="24"/>
        </w:rPr>
        <w:t>1</w:t>
      </w:r>
      <w:r w:rsidR="007F263C">
        <w:rPr>
          <w:noProof w:val="0"/>
          <w:sz w:val="24"/>
        </w:rPr>
        <w:t>5989</w:t>
      </w:r>
    </w:p>
    <w:bookmarkEnd w:id="0"/>
    <w:p w14:paraId="0DED7F9A" w14:textId="524E7266" w:rsidR="00A25942" w:rsidRDefault="00AF4814" w:rsidP="00A25942">
      <w:pPr>
        <w:pStyle w:val="Header"/>
        <w:rPr>
          <w:rFonts w:cs="Arial"/>
          <w:sz w:val="24"/>
          <w:szCs w:val="24"/>
          <w:lang w:val="de-DE"/>
        </w:rPr>
      </w:pPr>
      <w:r>
        <w:rPr>
          <w:rFonts w:cs="Arial"/>
          <w:sz w:val="24"/>
          <w:szCs w:val="24"/>
          <w:lang w:val="de-DE"/>
        </w:rPr>
        <w:t>Reno</w:t>
      </w:r>
      <w:r w:rsidR="00A25942">
        <w:rPr>
          <w:rFonts w:cs="Arial"/>
          <w:sz w:val="24"/>
          <w:szCs w:val="24"/>
          <w:lang w:val="de-DE"/>
        </w:rPr>
        <w:t xml:space="preserve">, </w:t>
      </w:r>
      <w:r>
        <w:rPr>
          <w:rFonts w:cs="Arial"/>
          <w:sz w:val="24"/>
          <w:szCs w:val="24"/>
          <w:lang w:val="de-DE"/>
        </w:rPr>
        <w:t>USA</w:t>
      </w:r>
      <w:r w:rsidR="00A25942">
        <w:rPr>
          <w:rFonts w:cs="Arial"/>
          <w:sz w:val="24"/>
          <w:szCs w:val="24"/>
          <w:lang w:val="de-DE"/>
        </w:rPr>
        <w:t>, 1</w:t>
      </w:r>
      <w:r>
        <w:rPr>
          <w:rFonts w:cs="Arial"/>
          <w:sz w:val="24"/>
          <w:szCs w:val="24"/>
          <w:lang w:val="de-DE"/>
        </w:rPr>
        <w:t>8</w:t>
      </w:r>
      <w:r w:rsidR="00A25942">
        <w:rPr>
          <w:rFonts w:cs="Arial"/>
          <w:sz w:val="24"/>
          <w:szCs w:val="24"/>
          <w:lang w:val="de-DE"/>
        </w:rPr>
        <w:t xml:space="preserve">th </w:t>
      </w:r>
      <w:r>
        <w:rPr>
          <w:rFonts w:cs="Arial"/>
          <w:sz w:val="24"/>
          <w:szCs w:val="24"/>
          <w:lang w:val="de-DE"/>
        </w:rPr>
        <w:t>–</w:t>
      </w:r>
      <w:r w:rsidR="00A25942">
        <w:rPr>
          <w:rFonts w:cs="Arial"/>
          <w:sz w:val="24"/>
          <w:szCs w:val="24"/>
          <w:lang w:val="de-DE"/>
        </w:rPr>
        <w:t xml:space="preserve"> </w:t>
      </w:r>
      <w:r>
        <w:rPr>
          <w:rFonts w:cs="Arial"/>
          <w:sz w:val="24"/>
          <w:szCs w:val="24"/>
          <w:lang w:val="de-DE"/>
        </w:rPr>
        <w:t>22nd</w:t>
      </w:r>
      <w:r w:rsidR="00A25942">
        <w:rPr>
          <w:rFonts w:cs="Arial"/>
          <w:sz w:val="24"/>
          <w:szCs w:val="24"/>
          <w:lang w:val="de-DE"/>
        </w:rPr>
        <w:t xml:space="preserve"> </w:t>
      </w:r>
      <w:r>
        <w:rPr>
          <w:rFonts w:cs="Arial"/>
          <w:sz w:val="24"/>
          <w:szCs w:val="24"/>
          <w:lang w:val="de-DE"/>
        </w:rPr>
        <w:t>Nov</w:t>
      </w:r>
      <w:r w:rsidR="00A25942" w:rsidRPr="00B766D9">
        <w:rPr>
          <w:rFonts w:cs="Arial"/>
          <w:sz w:val="24"/>
          <w:szCs w:val="24"/>
          <w:lang w:val="de-DE"/>
        </w:rPr>
        <w:t xml:space="preserve"> 201</w:t>
      </w:r>
      <w:r w:rsidR="00A25942">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3DDBDBC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43BC">
        <w:rPr>
          <w:rFonts w:ascii="Arial" w:hAnsi="Arial"/>
          <w:sz w:val="24"/>
          <w:lang w:val="en-US"/>
        </w:rPr>
        <w:t>P</w:t>
      </w:r>
      <w:r w:rsidR="005768DA">
        <w:rPr>
          <w:rFonts w:ascii="Arial" w:hAnsi="Arial"/>
          <w:sz w:val="24"/>
          <w:lang w:val="en-US"/>
        </w:rPr>
        <w:t>F</w:t>
      </w:r>
      <w:r w:rsidR="003031A8">
        <w:rPr>
          <w:rFonts w:ascii="Arial" w:hAnsi="Arial"/>
          <w:sz w:val="24"/>
          <w:lang w:val="en-US"/>
        </w:rPr>
        <w:t>S</w:t>
      </w:r>
      <w:r w:rsidR="00F343BC">
        <w:rPr>
          <w:rFonts w:ascii="Arial" w:hAnsi="Arial"/>
          <w:sz w:val="24"/>
          <w:lang w:val="en-US"/>
        </w:rPr>
        <w:t>CH MPR</w:t>
      </w:r>
    </w:p>
    <w:p w14:paraId="56BB70BC" w14:textId="6BA3B92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E365F">
        <w:rPr>
          <w:rFonts w:ascii="Arial" w:hAnsi="Arial"/>
          <w:sz w:val="24"/>
          <w:lang w:val="en-US"/>
        </w:rPr>
        <w:t>9</w:t>
      </w:r>
      <w:r w:rsidR="00AF4814">
        <w:rPr>
          <w:rFonts w:ascii="Arial" w:hAnsi="Arial"/>
          <w:sz w:val="24"/>
          <w:lang w:val="en-US"/>
        </w:rPr>
        <w:t>.</w:t>
      </w:r>
      <w:r w:rsidR="00BE365F">
        <w:rPr>
          <w:rFonts w:ascii="Arial" w:hAnsi="Arial"/>
          <w:sz w:val="24"/>
          <w:lang w:val="en-US"/>
        </w:rPr>
        <w:t>4</w:t>
      </w:r>
      <w:r w:rsidR="00AF4814">
        <w:rPr>
          <w:rFonts w:ascii="Arial" w:hAnsi="Arial"/>
          <w:sz w:val="24"/>
          <w:lang w:val="en-US"/>
        </w:rPr>
        <w:t>.</w:t>
      </w:r>
      <w:r w:rsidR="00BE365F">
        <w:rPr>
          <w:rFonts w:ascii="Arial" w:hAnsi="Arial"/>
          <w:sz w:val="24"/>
          <w:lang w:val="en-US"/>
        </w:rPr>
        <w:t>4</w:t>
      </w:r>
      <w:bookmarkStart w:id="1" w:name="_GoBack"/>
      <w:bookmarkEnd w:id="1"/>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558B0E23" w:rsidR="00F47DEC" w:rsidRDefault="009253A0" w:rsidP="0080445A">
      <w:r>
        <w:t>Further to the LS sent by RAN4 to RAN1 [1]</w:t>
      </w:r>
      <w:r w:rsidR="007939B2">
        <w:t xml:space="preserve"> </w:t>
      </w:r>
      <w:r>
        <w:t xml:space="preserve">on simultaneous transmission of multiple </w:t>
      </w:r>
      <w:r w:rsidR="0033436D">
        <w:t>P</w:t>
      </w:r>
      <w:r>
        <w:t>S</w:t>
      </w:r>
      <w:r w:rsidR="0033436D">
        <w:t>F</w:t>
      </w:r>
      <w:r>
        <w:t>CH channels by a UE this paper presents MP</w:t>
      </w:r>
      <w:r w:rsidR="007939B2">
        <w:t>R</w:t>
      </w:r>
      <w:r>
        <w:t xml:space="preserve"> simulation results for 3 </w:t>
      </w:r>
      <w:r w:rsidR="007939B2">
        <w:t xml:space="preserve">such </w:t>
      </w:r>
      <w:r>
        <w:t>multi-PS</w:t>
      </w:r>
      <w:r w:rsidR="0033436D">
        <w:t>F</w:t>
      </w:r>
      <w:r>
        <w:t xml:space="preserve">CH scenarios.  </w:t>
      </w:r>
      <w:r w:rsidR="007939B2">
        <w:t xml:space="preserve">These simulations were done for </w:t>
      </w:r>
      <w:r w:rsidR="009271AE">
        <w:t xml:space="preserve">a train of symbols containing </w:t>
      </w:r>
      <w:r w:rsidR="0033436D">
        <w:t>PSFCH</w:t>
      </w:r>
      <w:r w:rsidR="009271AE">
        <w:t xml:space="preserve"> symbols only. </w:t>
      </w:r>
    </w:p>
    <w:p w14:paraId="287A2072" w14:textId="053FABAF" w:rsidR="00207C2B" w:rsidRPr="0095156A" w:rsidRDefault="00CA38FE" w:rsidP="00207C2B">
      <w:pPr>
        <w:pStyle w:val="Heading1"/>
        <w:rPr>
          <w:lang w:val="en-US"/>
        </w:rPr>
      </w:pPr>
      <w:r>
        <w:rPr>
          <w:lang w:val="en-US"/>
        </w:rPr>
        <w:t>MPR</w:t>
      </w:r>
    </w:p>
    <w:p w14:paraId="31A0288F" w14:textId="0DAD1D5B" w:rsidR="009271AE" w:rsidRDefault="00EE1537" w:rsidP="00AD4B20">
      <w:pPr>
        <w:rPr>
          <w:lang w:val="en-US"/>
        </w:rPr>
      </w:pPr>
      <w:r>
        <w:rPr>
          <w:lang w:val="en-US"/>
        </w:rPr>
        <w:t>In [2</w:t>
      </w:r>
      <w:r w:rsidR="00CE4775">
        <w:rPr>
          <w:lang w:val="en-US"/>
        </w:rPr>
        <w:t>,3</w:t>
      </w:r>
      <w:r>
        <w:rPr>
          <w:lang w:val="en-US"/>
        </w:rPr>
        <w:t xml:space="preserve">] </w:t>
      </w:r>
      <w:r w:rsidR="009271AE">
        <w:rPr>
          <w:lang w:val="en-US"/>
        </w:rPr>
        <w:t>the</w:t>
      </w:r>
      <w:r w:rsidR="000A44A5">
        <w:rPr>
          <w:lang w:val="en-US"/>
        </w:rPr>
        <w:t>re</w:t>
      </w:r>
      <w:r w:rsidR="009271AE">
        <w:rPr>
          <w:lang w:val="en-US"/>
        </w:rPr>
        <w:t xml:space="preserve"> have been </w:t>
      </w:r>
      <w:r w:rsidR="00CE4775">
        <w:rPr>
          <w:lang w:val="en-US"/>
        </w:rPr>
        <w:t>several</w:t>
      </w:r>
      <w:r w:rsidR="009271AE">
        <w:rPr>
          <w:lang w:val="en-US"/>
        </w:rPr>
        <w:t xml:space="preserve"> opinions expressed on the number of </w:t>
      </w:r>
      <w:r w:rsidR="0033436D">
        <w:rPr>
          <w:lang w:val="en-US"/>
        </w:rPr>
        <w:t>PSFCH</w:t>
      </w:r>
      <w:r w:rsidR="009271AE">
        <w:rPr>
          <w:lang w:val="en-US"/>
        </w:rPr>
        <w:t xml:space="preserve"> channels that can be simultaneously supported by a UE. To better understand the impact of multi-channel </w:t>
      </w:r>
      <w:r w:rsidR="0033436D">
        <w:rPr>
          <w:lang w:val="en-US"/>
        </w:rPr>
        <w:t>PSFCH</w:t>
      </w:r>
      <w:r w:rsidR="009271AE">
        <w:rPr>
          <w:lang w:val="en-US"/>
        </w:rPr>
        <w:t xml:space="preserve"> transmission on TX performance 3 scenarios w</w:t>
      </w:r>
      <w:r w:rsidR="000A44A5">
        <w:rPr>
          <w:lang w:val="en-US"/>
        </w:rPr>
        <w:t>ith</w:t>
      </w:r>
      <w:r w:rsidR="009271AE">
        <w:rPr>
          <w:lang w:val="en-US"/>
        </w:rPr>
        <w:t xml:space="preserve"> different tones </w:t>
      </w:r>
      <w:r w:rsidR="000A44A5">
        <w:rPr>
          <w:lang w:val="en-US"/>
        </w:rPr>
        <w:t xml:space="preserve">placement </w:t>
      </w:r>
      <w:r w:rsidR="009271AE">
        <w:rPr>
          <w:lang w:val="en-US"/>
        </w:rPr>
        <w:t xml:space="preserve">within the TX band were simulated. The characteristics of the TX channel </w:t>
      </w:r>
      <w:r w:rsidR="000A44A5">
        <w:rPr>
          <w:lang w:val="en-US"/>
        </w:rPr>
        <w:t xml:space="preserve">for these simulations </w:t>
      </w:r>
      <w:r w:rsidR="009271AE">
        <w:rPr>
          <w:lang w:val="en-US"/>
        </w:rPr>
        <w:t>are given below:</w:t>
      </w:r>
    </w:p>
    <w:p w14:paraId="2E77DB5C" w14:textId="47271B2F" w:rsidR="009271AE" w:rsidRDefault="009271AE" w:rsidP="00AD4B20">
      <w:pPr>
        <w:rPr>
          <w:lang w:val="en-US"/>
        </w:rPr>
      </w:pPr>
    </w:p>
    <w:tbl>
      <w:tblPr>
        <w:tblW w:w="5305" w:type="dxa"/>
        <w:jc w:val="center"/>
        <w:tblLook w:val="04A0" w:firstRow="1" w:lastRow="0" w:firstColumn="1" w:lastColumn="0" w:noHBand="0" w:noVBand="1"/>
      </w:tblPr>
      <w:tblGrid>
        <w:gridCol w:w="3014"/>
        <w:gridCol w:w="1455"/>
        <w:gridCol w:w="836"/>
      </w:tblGrid>
      <w:tr w:rsidR="009271AE" w:rsidRPr="009271AE" w14:paraId="1580CB50" w14:textId="77777777" w:rsidTr="00962139">
        <w:trPr>
          <w:trHeight w:val="284"/>
          <w:jc w:val="center"/>
        </w:trPr>
        <w:tc>
          <w:tcPr>
            <w:tcW w:w="30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A52F0" w14:textId="77777777" w:rsidR="009271AE" w:rsidRPr="009271AE" w:rsidRDefault="009271AE" w:rsidP="009271AE">
            <w:pPr>
              <w:spacing w:after="0"/>
              <w:jc w:val="center"/>
              <w:rPr>
                <w:rFonts w:ascii="Calibri" w:hAnsi="Calibri" w:cs="Calibri"/>
                <w:b/>
                <w:color w:val="000000"/>
                <w:sz w:val="22"/>
                <w:szCs w:val="22"/>
                <w:lang w:val="en-US"/>
              </w:rPr>
            </w:pPr>
            <w:r w:rsidRPr="009271AE">
              <w:rPr>
                <w:rFonts w:ascii="Calibri" w:hAnsi="Calibri" w:cs="Calibri"/>
                <w:b/>
                <w:color w:val="000000"/>
                <w:sz w:val="22"/>
                <w:szCs w:val="22"/>
                <w:lang w:val="en-US"/>
              </w:rPr>
              <w:t>Tx Characteristics</w:t>
            </w:r>
          </w:p>
        </w:tc>
        <w:tc>
          <w:tcPr>
            <w:tcW w:w="1455" w:type="dxa"/>
            <w:tcBorders>
              <w:top w:val="single" w:sz="4" w:space="0" w:color="auto"/>
              <w:left w:val="nil"/>
              <w:bottom w:val="single" w:sz="4" w:space="0" w:color="auto"/>
              <w:right w:val="single" w:sz="4" w:space="0" w:color="auto"/>
            </w:tcBorders>
            <w:shd w:val="clear" w:color="auto" w:fill="auto"/>
            <w:noWrap/>
            <w:vAlign w:val="bottom"/>
            <w:hideMark/>
          </w:tcPr>
          <w:p w14:paraId="4F3C64ED" w14:textId="77777777" w:rsidR="009271AE" w:rsidRPr="009271AE" w:rsidRDefault="009271AE" w:rsidP="009271AE">
            <w:pPr>
              <w:spacing w:after="0"/>
              <w:jc w:val="center"/>
              <w:rPr>
                <w:rFonts w:ascii="Calibri" w:hAnsi="Calibri" w:cs="Calibri"/>
                <w:b/>
                <w:color w:val="000000"/>
                <w:sz w:val="22"/>
                <w:szCs w:val="22"/>
                <w:lang w:val="en-US"/>
              </w:rPr>
            </w:pPr>
            <w:r w:rsidRPr="009271AE">
              <w:rPr>
                <w:rFonts w:ascii="Calibri" w:hAnsi="Calibri" w:cs="Calibri"/>
                <w:b/>
                <w:color w:val="000000"/>
                <w:sz w:val="22"/>
                <w:szCs w:val="22"/>
                <w:lang w:val="en-U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14:paraId="5AF8CA96" w14:textId="77777777" w:rsidR="009271AE" w:rsidRPr="009271AE" w:rsidRDefault="009271AE" w:rsidP="009271AE">
            <w:pPr>
              <w:spacing w:after="0"/>
              <w:jc w:val="center"/>
              <w:rPr>
                <w:rFonts w:ascii="Calibri" w:hAnsi="Calibri" w:cs="Calibri"/>
                <w:b/>
                <w:color w:val="000000"/>
                <w:sz w:val="22"/>
                <w:szCs w:val="22"/>
                <w:lang w:val="en-US"/>
              </w:rPr>
            </w:pPr>
            <w:r w:rsidRPr="009271AE">
              <w:rPr>
                <w:rFonts w:ascii="Calibri" w:hAnsi="Calibri" w:cs="Calibri"/>
                <w:b/>
                <w:color w:val="000000"/>
                <w:sz w:val="22"/>
                <w:szCs w:val="22"/>
                <w:lang w:val="en-US"/>
              </w:rPr>
              <w:t>Unit</w:t>
            </w:r>
          </w:p>
        </w:tc>
      </w:tr>
      <w:tr w:rsidR="009271AE" w:rsidRPr="009271AE" w14:paraId="24D0EC6A"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09048858"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BW</w:t>
            </w:r>
          </w:p>
        </w:tc>
        <w:tc>
          <w:tcPr>
            <w:tcW w:w="1455" w:type="dxa"/>
            <w:tcBorders>
              <w:top w:val="nil"/>
              <w:left w:val="nil"/>
              <w:bottom w:val="single" w:sz="4" w:space="0" w:color="auto"/>
              <w:right w:val="single" w:sz="4" w:space="0" w:color="auto"/>
            </w:tcBorders>
            <w:shd w:val="clear" w:color="auto" w:fill="auto"/>
            <w:noWrap/>
            <w:vAlign w:val="bottom"/>
            <w:hideMark/>
          </w:tcPr>
          <w:p w14:paraId="0DEF4800"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40</w:t>
            </w:r>
          </w:p>
        </w:tc>
        <w:tc>
          <w:tcPr>
            <w:tcW w:w="836" w:type="dxa"/>
            <w:tcBorders>
              <w:top w:val="nil"/>
              <w:left w:val="nil"/>
              <w:bottom w:val="single" w:sz="4" w:space="0" w:color="auto"/>
              <w:right w:val="single" w:sz="4" w:space="0" w:color="auto"/>
            </w:tcBorders>
            <w:shd w:val="clear" w:color="auto" w:fill="auto"/>
            <w:noWrap/>
            <w:vAlign w:val="bottom"/>
            <w:hideMark/>
          </w:tcPr>
          <w:p w14:paraId="2FA9EC09"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MHz</w:t>
            </w:r>
          </w:p>
        </w:tc>
      </w:tr>
      <w:tr w:rsidR="009271AE" w:rsidRPr="009271AE" w14:paraId="62005F38"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7E0A5B7F"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SCS</w:t>
            </w:r>
          </w:p>
        </w:tc>
        <w:tc>
          <w:tcPr>
            <w:tcW w:w="1455" w:type="dxa"/>
            <w:tcBorders>
              <w:top w:val="nil"/>
              <w:left w:val="nil"/>
              <w:bottom w:val="single" w:sz="4" w:space="0" w:color="auto"/>
              <w:right w:val="single" w:sz="4" w:space="0" w:color="auto"/>
            </w:tcBorders>
            <w:shd w:val="clear" w:color="auto" w:fill="auto"/>
            <w:noWrap/>
            <w:vAlign w:val="bottom"/>
            <w:hideMark/>
          </w:tcPr>
          <w:p w14:paraId="6E6511CB"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30</w:t>
            </w:r>
          </w:p>
        </w:tc>
        <w:tc>
          <w:tcPr>
            <w:tcW w:w="836" w:type="dxa"/>
            <w:tcBorders>
              <w:top w:val="nil"/>
              <w:left w:val="nil"/>
              <w:bottom w:val="single" w:sz="4" w:space="0" w:color="auto"/>
              <w:right w:val="single" w:sz="4" w:space="0" w:color="auto"/>
            </w:tcBorders>
            <w:shd w:val="clear" w:color="auto" w:fill="auto"/>
            <w:noWrap/>
            <w:vAlign w:val="bottom"/>
            <w:hideMark/>
          </w:tcPr>
          <w:p w14:paraId="36687FEC" w14:textId="77777777" w:rsidR="009271AE" w:rsidRPr="009271AE" w:rsidRDefault="009271AE" w:rsidP="009271AE">
            <w:pPr>
              <w:spacing w:after="0"/>
              <w:jc w:val="center"/>
              <w:rPr>
                <w:rFonts w:ascii="Calibri" w:hAnsi="Calibri" w:cs="Calibri"/>
                <w:color w:val="000000"/>
                <w:sz w:val="22"/>
                <w:szCs w:val="22"/>
                <w:lang w:val="en-US"/>
              </w:rPr>
            </w:pPr>
            <w:proofErr w:type="spellStart"/>
            <w:r w:rsidRPr="009271AE">
              <w:rPr>
                <w:rFonts w:ascii="Calibri" w:hAnsi="Calibri" w:cs="Calibri"/>
                <w:color w:val="000000"/>
                <w:sz w:val="22"/>
                <w:szCs w:val="22"/>
                <w:lang w:val="en-US"/>
              </w:rPr>
              <w:t>KHz</w:t>
            </w:r>
            <w:proofErr w:type="spellEnd"/>
          </w:p>
        </w:tc>
      </w:tr>
      <w:tr w:rsidR="009271AE" w:rsidRPr="009271AE" w14:paraId="45E38E96"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4351C30E"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Max RB</w:t>
            </w:r>
          </w:p>
        </w:tc>
        <w:tc>
          <w:tcPr>
            <w:tcW w:w="1455" w:type="dxa"/>
            <w:tcBorders>
              <w:top w:val="nil"/>
              <w:left w:val="nil"/>
              <w:bottom w:val="single" w:sz="4" w:space="0" w:color="auto"/>
              <w:right w:val="single" w:sz="4" w:space="0" w:color="auto"/>
            </w:tcBorders>
            <w:shd w:val="clear" w:color="auto" w:fill="auto"/>
            <w:noWrap/>
            <w:vAlign w:val="bottom"/>
            <w:hideMark/>
          </w:tcPr>
          <w:p w14:paraId="32B4D684"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106</w:t>
            </w:r>
          </w:p>
        </w:tc>
        <w:tc>
          <w:tcPr>
            <w:tcW w:w="836" w:type="dxa"/>
            <w:tcBorders>
              <w:top w:val="nil"/>
              <w:left w:val="nil"/>
              <w:bottom w:val="single" w:sz="4" w:space="0" w:color="auto"/>
              <w:right w:val="single" w:sz="4" w:space="0" w:color="auto"/>
            </w:tcBorders>
            <w:shd w:val="clear" w:color="auto" w:fill="auto"/>
            <w:noWrap/>
            <w:vAlign w:val="bottom"/>
            <w:hideMark/>
          </w:tcPr>
          <w:p w14:paraId="5E96450B"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 </w:t>
            </w:r>
          </w:p>
        </w:tc>
      </w:tr>
      <w:tr w:rsidR="00734C18" w:rsidRPr="009271AE" w14:paraId="267E7CCE"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tcPr>
          <w:p w14:paraId="6E426BC8" w14:textId="4DC9B1F1" w:rsidR="00734C18" w:rsidRPr="009271AE" w:rsidRDefault="00734C18" w:rsidP="009271AE">
            <w:pPr>
              <w:spacing w:after="0"/>
              <w:jc w:val="center"/>
              <w:rPr>
                <w:rFonts w:ascii="Calibri" w:hAnsi="Calibri" w:cs="Calibri"/>
                <w:color w:val="000000"/>
                <w:sz w:val="22"/>
                <w:szCs w:val="22"/>
                <w:lang w:val="en-US"/>
              </w:rPr>
            </w:pPr>
            <w:r>
              <w:rPr>
                <w:rFonts w:ascii="Calibri" w:hAnsi="Calibri" w:cs="Calibri"/>
                <w:color w:val="000000"/>
                <w:sz w:val="22"/>
                <w:szCs w:val="22"/>
                <w:lang w:val="en-US"/>
              </w:rPr>
              <w:t># of RB per Tone</w:t>
            </w:r>
          </w:p>
        </w:tc>
        <w:tc>
          <w:tcPr>
            <w:tcW w:w="1455" w:type="dxa"/>
            <w:tcBorders>
              <w:top w:val="nil"/>
              <w:left w:val="nil"/>
              <w:bottom w:val="single" w:sz="4" w:space="0" w:color="auto"/>
              <w:right w:val="single" w:sz="4" w:space="0" w:color="auto"/>
            </w:tcBorders>
            <w:shd w:val="clear" w:color="auto" w:fill="auto"/>
            <w:noWrap/>
            <w:vAlign w:val="bottom"/>
          </w:tcPr>
          <w:p w14:paraId="052DC8A7" w14:textId="54AB6189" w:rsidR="00734C18" w:rsidRPr="009271AE" w:rsidRDefault="00734C18" w:rsidP="009271AE">
            <w:pPr>
              <w:spacing w:after="0"/>
              <w:jc w:val="center"/>
              <w:rPr>
                <w:rFonts w:ascii="Calibri" w:hAnsi="Calibri" w:cs="Calibri"/>
                <w:color w:val="000000"/>
                <w:sz w:val="22"/>
                <w:szCs w:val="22"/>
                <w:lang w:val="en-US"/>
              </w:rPr>
            </w:pPr>
            <w:r>
              <w:rPr>
                <w:rFonts w:ascii="Calibri" w:hAnsi="Calibri" w:cs="Calibri"/>
                <w:color w:val="000000"/>
                <w:sz w:val="22"/>
                <w:szCs w:val="22"/>
                <w:lang w:val="en-US"/>
              </w:rPr>
              <w:t>1</w:t>
            </w:r>
          </w:p>
        </w:tc>
        <w:tc>
          <w:tcPr>
            <w:tcW w:w="836" w:type="dxa"/>
            <w:tcBorders>
              <w:top w:val="nil"/>
              <w:left w:val="nil"/>
              <w:bottom w:val="single" w:sz="4" w:space="0" w:color="auto"/>
              <w:right w:val="single" w:sz="4" w:space="0" w:color="auto"/>
            </w:tcBorders>
            <w:shd w:val="clear" w:color="auto" w:fill="auto"/>
            <w:noWrap/>
            <w:vAlign w:val="bottom"/>
          </w:tcPr>
          <w:p w14:paraId="48775ED9" w14:textId="77777777" w:rsidR="00734C18" w:rsidRPr="009271AE" w:rsidRDefault="00734C18" w:rsidP="009271AE">
            <w:pPr>
              <w:spacing w:after="0"/>
              <w:jc w:val="center"/>
              <w:rPr>
                <w:rFonts w:ascii="Calibri" w:hAnsi="Calibri" w:cs="Calibri"/>
                <w:color w:val="000000"/>
                <w:sz w:val="22"/>
                <w:szCs w:val="22"/>
                <w:lang w:val="en-US"/>
              </w:rPr>
            </w:pPr>
          </w:p>
        </w:tc>
      </w:tr>
      <w:tr w:rsidR="009271AE" w:rsidRPr="009271AE" w14:paraId="0D4A6A58"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45E1F74B"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Waveform Type</w:t>
            </w:r>
          </w:p>
        </w:tc>
        <w:tc>
          <w:tcPr>
            <w:tcW w:w="1455" w:type="dxa"/>
            <w:tcBorders>
              <w:top w:val="nil"/>
              <w:left w:val="nil"/>
              <w:bottom w:val="single" w:sz="4" w:space="0" w:color="auto"/>
              <w:right w:val="single" w:sz="4" w:space="0" w:color="auto"/>
            </w:tcBorders>
            <w:shd w:val="clear" w:color="auto" w:fill="auto"/>
            <w:noWrap/>
            <w:vAlign w:val="bottom"/>
            <w:hideMark/>
          </w:tcPr>
          <w:p w14:paraId="08D8DA2E"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CP-OFDMA</w:t>
            </w:r>
          </w:p>
        </w:tc>
        <w:tc>
          <w:tcPr>
            <w:tcW w:w="836" w:type="dxa"/>
            <w:tcBorders>
              <w:top w:val="nil"/>
              <w:left w:val="nil"/>
              <w:bottom w:val="single" w:sz="4" w:space="0" w:color="auto"/>
              <w:right w:val="single" w:sz="4" w:space="0" w:color="auto"/>
            </w:tcBorders>
            <w:shd w:val="clear" w:color="auto" w:fill="auto"/>
            <w:noWrap/>
            <w:vAlign w:val="bottom"/>
            <w:hideMark/>
          </w:tcPr>
          <w:p w14:paraId="0236D9B3"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 </w:t>
            </w:r>
          </w:p>
        </w:tc>
      </w:tr>
      <w:tr w:rsidR="009271AE" w:rsidRPr="009271AE" w14:paraId="7E8D580F"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7ADE5BED"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Modulation</w:t>
            </w:r>
          </w:p>
        </w:tc>
        <w:tc>
          <w:tcPr>
            <w:tcW w:w="1455" w:type="dxa"/>
            <w:tcBorders>
              <w:top w:val="nil"/>
              <w:left w:val="nil"/>
              <w:bottom w:val="single" w:sz="4" w:space="0" w:color="auto"/>
              <w:right w:val="single" w:sz="4" w:space="0" w:color="auto"/>
            </w:tcBorders>
            <w:shd w:val="clear" w:color="auto" w:fill="auto"/>
            <w:noWrap/>
            <w:vAlign w:val="bottom"/>
            <w:hideMark/>
          </w:tcPr>
          <w:p w14:paraId="3F799F81"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QPSK</w:t>
            </w:r>
          </w:p>
        </w:tc>
        <w:tc>
          <w:tcPr>
            <w:tcW w:w="836" w:type="dxa"/>
            <w:tcBorders>
              <w:top w:val="nil"/>
              <w:left w:val="nil"/>
              <w:bottom w:val="single" w:sz="4" w:space="0" w:color="auto"/>
              <w:right w:val="single" w:sz="4" w:space="0" w:color="auto"/>
            </w:tcBorders>
            <w:shd w:val="clear" w:color="auto" w:fill="auto"/>
            <w:noWrap/>
            <w:vAlign w:val="bottom"/>
            <w:hideMark/>
          </w:tcPr>
          <w:p w14:paraId="37E8F1B4"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 </w:t>
            </w:r>
          </w:p>
        </w:tc>
      </w:tr>
    </w:tbl>
    <w:p w14:paraId="424AADD8" w14:textId="58E62484" w:rsidR="009271AE" w:rsidRDefault="009271AE" w:rsidP="009271AE">
      <w:pPr>
        <w:jc w:val="center"/>
        <w:rPr>
          <w:lang w:val="en-US"/>
        </w:rPr>
      </w:pPr>
    </w:p>
    <w:p w14:paraId="7BB04DBC" w14:textId="6050AD7A" w:rsidR="00256001" w:rsidRDefault="00256001" w:rsidP="0067608C">
      <w:pPr>
        <w:jc w:val="center"/>
        <w:rPr>
          <w:lang w:val="en-US"/>
        </w:rPr>
      </w:pPr>
      <w:r>
        <w:rPr>
          <w:lang w:val="en-US"/>
        </w:rPr>
        <w:t xml:space="preserve">Table 1 – TX Characteristics for multi-tone </w:t>
      </w:r>
      <w:r w:rsidR="0033436D">
        <w:rPr>
          <w:lang w:val="en-US"/>
        </w:rPr>
        <w:t>PSFCH</w:t>
      </w:r>
      <w:r>
        <w:rPr>
          <w:lang w:val="en-US"/>
        </w:rPr>
        <w:t xml:space="preserve"> simulations</w:t>
      </w:r>
    </w:p>
    <w:p w14:paraId="0E1A05AA" w14:textId="50EF5323" w:rsidR="00734C18" w:rsidRDefault="00734C18" w:rsidP="00734C18">
      <w:pPr>
        <w:rPr>
          <w:lang w:val="en-US"/>
        </w:rPr>
      </w:pPr>
      <w:r>
        <w:rPr>
          <w:lang w:val="en-US"/>
        </w:rPr>
        <w:t xml:space="preserve">For these simulations the tones were placed at the following locations for the 3 simulations [ 1 </w:t>
      </w:r>
      <w:proofErr w:type="gramStart"/>
      <w:r>
        <w:rPr>
          <w:lang w:val="en-US"/>
        </w:rPr>
        <w:t>1 ;</w:t>
      </w:r>
      <w:proofErr w:type="gramEnd"/>
      <w:r>
        <w:rPr>
          <w:lang w:val="en-US"/>
        </w:rPr>
        <w:t xml:space="preserve"> 106 106], [ 1 1 ; 53 53], [1 1 ; 53 53 ; 106 106].</w:t>
      </w:r>
      <w:r w:rsidR="004A0797">
        <w:rPr>
          <w:lang w:val="en-US"/>
        </w:rPr>
        <w:t xml:space="preserve"> </w:t>
      </w:r>
      <w:r w:rsidR="00BA7C81">
        <w:rPr>
          <w:lang w:val="en-US"/>
        </w:rPr>
        <w:t>T</w:t>
      </w:r>
      <w:r w:rsidR="004A0797">
        <w:rPr>
          <w:lang w:val="en-US"/>
        </w:rPr>
        <w:t>he</w:t>
      </w:r>
      <w:r w:rsidR="00BA7C81">
        <w:rPr>
          <w:lang w:val="en-US"/>
        </w:rPr>
        <w:t xml:space="preserve"> above waveforms were passed through a typical band 47 PA and their performance was compared against the ACLR, </w:t>
      </w:r>
      <w:r w:rsidR="00A71163">
        <w:rPr>
          <w:lang w:val="en-US"/>
        </w:rPr>
        <w:t xml:space="preserve">EVM, </w:t>
      </w:r>
      <w:r w:rsidR="00BA7C81">
        <w:rPr>
          <w:lang w:val="en-US"/>
        </w:rPr>
        <w:t>SEM, SPUR and IBE specifications given in TS38.101-1. The</w:t>
      </w:r>
      <w:r>
        <w:rPr>
          <w:lang w:val="en-US"/>
        </w:rPr>
        <w:t xml:space="preserve"> ACLR was compared to a specification of 30dBc, the EVM to a specification of 17.5%</w:t>
      </w:r>
      <w:r w:rsidR="004A0797">
        <w:rPr>
          <w:lang w:val="en-US"/>
        </w:rPr>
        <w:t xml:space="preserve"> </w:t>
      </w:r>
      <w:r>
        <w:rPr>
          <w:lang w:val="en-US"/>
        </w:rPr>
        <w:t>while the SEM</w:t>
      </w:r>
      <w:r w:rsidR="004A0797">
        <w:rPr>
          <w:lang w:val="en-US"/>
        </w:rPr>
        <w:t xml:space="preserve">, </w:t>
      </w:r>
      <w:r>
        <w:rPr>
          <w:lang w:val="en-US"/>
        </w:rPr>
        <w:t>spur</w:t>
      </w:r>
      <w:r w:rsidR="004A0797">
        <w:rPr>
          <w:lang w:val="en-US"/>
        </w:rPr>
        <w:t xml:space="preserve"> and IBE</w:t>
      </w:r>
      <w:r>
        <w:rPr>
          <w:lang w:val="en-US"/>
        </w:rPr>
        <w:t xml:space="preserve"> levels were compared against the values in TS38.101-1 tables 6.5.2.2.-1</w:t>
      </w:r>
      <w:r w:rsidR="004A0797">
        <w:rPr>
          <w:lang w:val="en-US"/>
        </w:rPr>
        <w:t>,</w:t>
      </w:r>
      <w:r>
        <w:rPr>
          <w:lang w:val="en-US"/>
        </w:rPr>
        <w:t xml:space="preserve"> 6.5.3.1-2</w:t>
      </w:r>
      <w:r w:rsidR="004A0797">
        <w:rPr>
          <w:lang w:val="en-US"/>
        </w:rPr>
        <w:t xml:space="preserve"> and</w:t>
      </w:r>
      <w:r>
        <w:rPr>
          <w:lang w:val="en-US"/>
        </w:rPr>
        <w:t xml:space="preserve"> </w:t>
      </w:r>
      <w:r w:rsidR="00BF493F">
        <w:rPr>
          <w:lang w:val="en-US"/>
        </w:rPr>
        <w:t xml:space="preserve">6.4.2.3-1 </w:t>
      </w:r>
      <w:r>
        <w:rPr>
          <w:lang w:val="en-US"/>
        </w:rPr>
        <w:t>respectively.</w:t>
      </w:r>
      <w:r w:rsidR="004A0797">
        <w:rPr>
          <w:lang w:val="en-US"/>
        </w:rPr>
        <w:t xml:space="preserve"> The MPR values were calculated</w:t>
      </w:r>
      <w:r w:rsidR="00BF493F">
        <w:rPr>
          <w:lang w:val="en-US"/>
        </w:rPr>
        <w:t xml:space="preserve"> as the power back-off difference</w:t>
      </w:r>
      <w:r w:rsidR="00524582">
        <w:rPr>
          <w:lang w:val="en-US"/>
        </w:rPr>
        <w:t xml:space="preserve"> required</w:t>
      </w:r>
      <w:r w:rsidR="00BF493F">
        <w:rPr>
          <w:lang w:val="en-US"/>
        </w:rPr>
        <w:t xml:space="preserve"> </w:t>
      </w:r>
      <w:r w:rsidR="00CC37C3">
        <w:rPr>
          <w:lang w:val="en-US"/>
        </w:rPr>
        <w:t xml:space="preserve">to meet all the above specifications </w:t>
      </w:r>
      <w:r w:rsidR="00BF493F">
        <w:rPr>
          <w:lang w:val="en-US"/>
        </w:rPr>
        <w:t>compared to a 40MHz full RB, QPSK, DFTS modulated</w:t>
      </w:r>
      <w:r w:rsidR="004A0797">
        <w:rPr>
          <w:lang w:val="en-US"/>
        </w:rPr>
        <w:t xml:space="preserve"> </w:t>
      </w:r>
      <w:r w:rsidR="00BF493F">
        <w:rPr>
          <w:lang w:val="en-US"/>
        </w:rPr>
        <w:t>reference waveform. The MPRs for each waveform is given below:</w:t>
      </w:r>
    </w:p>
    <w:p w14:paraId="5AB2B975" w14:textId="684478FD" w:rsidR="00BF493F" w:rsidRPr="00B1187E" w:rsidRDefault="00BF493F" w:rsidP="00734C18">
      <w:pPr>
        <w:rPr>
          <w:b/>
          <w:color w:val="FF0000"/>
          <w:lang w:val="en-US"/>
        </w:rPr>
      </w:pPr>
    </w:p>
    <w:tbl>
      <w:tblPr>
        <w:tblW w:w="4400" w:type="dxa"/>
        <w:jc w:val="center"/>
        <w:tblLook w:val="04A0" w:firstRow="1" w:lastRow="0" w:firstColumn="1" w:lastColumn="0" w:noHBand="0" w:noVBand="1"/>
      </w:tblPr>
      <w:tblGrid>
        <w:gridCol w:w="2320"/>
        <w:gridCol w:w="1120"/>
        <w:gridCol w:w="960"/>
      </w:tblGrid>
      <w:tr w:rsidR="00BF493F" w:rsidRPr="00BF493F" w14:paraId="25C47300" w14:textId="77777777" w:rsidTr="00BF493F">
        <w:trPr>
          <w:trHeight w:val="300"/>
          <w:jc w:val="center"/>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688BF"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Waveform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E28AA01"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MPR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0EBF0E"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Unit</w:t>
            </w:r>
          </w:p>
        </w:tc>
      </w:tr>
      <w:tr w:rsidR="00BF493F" w:rsidRPr="00BF493F" w14:paraId="6C1A1B3A" w14:textId="77777777" w:rsidTr="00BF493F">
        <w:trPr>
          <w:trHeight w:val="30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C7C8496"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 xml:space="preserve">[1 </w:t>
            </w:r>
            <w:proofErr w:type="gramStart"/>
            <w:r w:rsidRPr="00BF493F">
              <w:rPr>
                <w:rFonts w:ascii="Calibri" w:hAnsi="Calibri" w:cs="Calibri"/>
                <w:color w:val="000000"/>
                <w:sz w:val="22"/>
                <w:szCs w:val="22"/>
                <w:lang w:val="en-US"/>
              </w:rPr>
              <w:t>1 ;</w:t>
            </w:r>
            <w:proofErr w:type="gramEnd"/>
            <w:r w:rsidRPr="00BF493F">
              <w:rPr>
                <w:rFonts w:ascii="Calibri" w:hAnsi="Calibri" w:cs="Calibri"/>
                <w:color w:val="000000"/>
                <w:sz w:val="22"/>
                <w:szCs w:val="22"/>
                <w:lang w:val="en-US"/>
              </w:rPr>
              <w:t xml:space="preserve"> 106 106]</w:t>
            </w:r>
          </w:p>
        </w:tc>
        <w:tc>
          <w:tcPr>
            <w:tcW w:w="1120" w:type="dxa"/>
            <w:tcBorders>
              <w:top w:val="nil"/>
              <w:left w:val="nil"/>
              <w:bottom w:val="single" w:sz="4" w:space="0" w:color="auto"/>
              <w:right w:val="single" w:sz="4" w:space="0" w:color="auto"/>
            </w:tcBorders>
            <w:shd w:val="clear" w:color="auto" w:fill="auto"/>
            <w:noWrap/>
            <w:vAlign w:val="bottom"/>
            <w:hideMark/>
          </w:tcPr>
          <w:p w14:paraId="4FF77A88"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64249FFA"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dB</w:t>
            </w:r>
          </w:p>
        </w:tc>
      </w:tr>
      <w:tr w:rsidR="00BF493F" w:rsidRPr="00BF493F" w14:paraId="0CE2BCFC" w14:textId="77777777" w:rsidTr="00BF493F">
        <w:trPr>
          <w:trHeight w:val="30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0935F01"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 xml:space="preserve">[1 </w:t>
            </w:r>
            <w:proofErr w:type="gramStart"/>
            <w:r w:rsidRPr="00BF493F">
              <w:rPr>
                <w:rFonts w:ascii="Calibri" w:hAnsi="Calibri" w:cs="Calibri"/>
                <w:color w:val="000000"/>
                <w:sz w:val="22"/>
                <w:szCs w:val="22"/>
                <w:lang w:val="en-US"/>
              </w:rPr>
              <w:t>1 ;</w:t>
            </w:r>
            <w:proofErr w:type="gramEnd"/>
            <w:r w:rsidRPr="00BF493F">
              <w:rPr>
                <w:rFonts w:ascii="Calibri" w:hAnsi="Calibri" w:cs="Calibri"/>
                <w:color w:val="000000"/>
                <w:sz w:val="22"/>
                <w:szCs w:val="22"/>
                <w:lang w:val="en-US"/>
              </w:rPr>
              <w:t xml:space="preserve"> 53 53]</w:t>
            </w:r>
          </w:p>
        </w:tc>
        <w:tc>
          <w:tcPr>
            <w:tcW w:w="1120" w:type="dxa"/>
            <w:tcBorders>
              <w:top w:val="nil"/>
              <w:left w:val="nil"/>
              <w:bottom w:val="single" w:sz="4" w:space="0" w:color="auto"/>
              <w:right w:val="single" w:sz="4" w:space="0" w:color="auto"/>
            </w:tcBorders>
            <w:shd w:val="clear" w:color="auto" w:fill="auto"/>
            <w:noWrap/>
            <w:vAlign w:val="bottom"/>
            <w:hideMark/>
          </w:tcPr>
          <w:p w14:paraId="70B08898"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752A40"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dB</w:t>
            </w:r>
          </w:p>
        </w:tc>
      </w:tr>
      <w:tr w:rsidR="00BF493F" w:rsidRPr="00BF493F" w14:paraId="5CC8B20D" w14:textId="77777777" w:rsidTr="00BF493F">
        <w:trPr>
          <w:trHeight w:val="30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178B9F4"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 xml:space="preserve">[1 </w:t>
            </w:r>
            <w:proofErr w:type="gramStart"/>
            <w:r w:rsidRPr="00BF493F">
              <w:rPr>
                <w:rFonts w:ascii="Calibri" w:hAnsi="Calibri" w:cs="Calibri"/>
                <w:color w:val="000000"/>
                <w:sz w:val="22"/>
                <w:szCs w:val="22"/>
                <w:lang w:val="en-US"/>
              </w:rPr>
              <w:t>1 ;</w:t>
            </w:r>
            <w:proofErr w:type="gramEnd"/>
            <w:r w:rsidRPr="00BF493F">
              <w:rPr>
                <w:rFonts w:ascii="Calibri" w:hAnsi="Calibri" w:cs="Calibri"/>
                <w:color w:val="000000"/>
                <w:sz w:val="22"/>
                <w:szCs w:val="22"/>
                <w:lang w:val="en-US"/>
              </w:rPr>
              <w:t xml:space="preserve"> 53 53 ; 106 106]</w:t>
            </w:r>
          </w:p>
        </w:tc>
        <w:tc>
          <w:tcPr>
            <w:tcW w:w="1120" w:type="dxa"/>
            <w:tcBorders>
              <w:top w:val="nil"/>
              <w:left w:val="nil"/>
              <w:bottom w:val="single" w:sz="4" w:space="0" w:color="auto"/>
              <w:right w:val="single" w:sz="4" w:space="0" w:color="auto"/>
            </w:tcBorders>
            <w:shd w:val="clear" w:color="auto" w:fill="auto"/>
            <w:noWrap/>
            <w:vAlign w:val="bottom"/>
            <w:hideMark/>
          </w:tcPr>
          <w:p w14:paraId="3F82BE80"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15D30DE4"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dB</w:t>
            </w:r>
          </w:p>
        </w:tc>
      </w:tr>
    </w:tbl>
    <w:p w14:paraId="7DAB1061" w14:textId="77777777" w:rsidR="0067608C" w:rsidRDefault="0067608C" w:rsidP="00BF493F">
      <w:pPr>
        <w:jc w:val="center"/>
        <w:rPr>
          <w:lang w:val="en-US"/>
        </w:rPr>
      </w:pPr>
    </w:p>
    <w:p w14:paraId="2DCF7DB0" w14:textId="5AA0F5F9" w:rsidR="00BF493F" w:rsidRDefault="00BF493F" w:rsidP="00BF493F">
      <w:pPr>
        <w:jc w:val="center"/>
        <w:rPr>
          <w:lang w:val="en-US"/>
        </w:rPr>
      </w:pPr>
      <w:r>
        <w:rPr>
          <w:lang w:val="en-US"/>
        </w:rPr>
        <w:t xml:space="preserve">Table </w:t>
      </w:r>
      <w:r w:rsidR="00F13003">
        <w:rPr>
          <w:lang w:val="en-US"/>
        </w:rPr>
        <w:t xml:space="preserve">2 </w:t>
      </w:r>
      <w:r>
        <w:rPr>
          <w:lang w:val="en-US"/>
        </w:rPr>
        <w:t xml:space="preserve">– MPR results for multi-tone </w:t>
      </w:r>
      <w:r w:rsidR="0033436D">
        <w:rPr>
          <w:lang w:val="en-US"/>
        </w:rPr>
        <w:t>PSFCH</w:t>
      </w:r>
      <w:r>
        <w:rPr>
          <w:lang w:val="en-US"/>
        </w:rPr>
        <w:t xml:space="preserve"> simulations</w:t>
      </w:r>
    </w:p>
    <w:p w14:paraId="1D451FB4" w14:textId="68F4C6A1" w:rsidR="00F74244" w:rsidRDefault="00CC37C3" w:rsidP="00BF493F">
      <w:pPr>
        <w:rPr>
          <w:lang w:val="en-US"/>
        </w:rPr>
      </w:pPr>
      <w:r>
        <w:rPr>
          <w:lang w:val="en-US"/>
        </w:rPr>
        <w:t>T</w:t>
      </w:r>
      <w:r w:rsidR="00AB4107">
        <w:rPr>
          <w:lang w:val="en-US"/>
        </w:rPr>
        <w:t>he</w:t>
      </w:r>
      <w:r w:rsidR="00F74244">
        <w:rPr>
          <w:lang w:val="en-US"/>
        </w:rPr>
        <w:t xml:space="preserve"> </w:t>
      </w:r>
      <w:r>
        <w:rPr>
          <w:lang w:val="en-US"/>
        </w:rPr>
        <w:t>waveforms</w:t>
      </w:r>
      <w:r w:rsidR="00F74244">
        <w:rPr>
          <w:lang w:val="en-US"/>
        </w:rPr>
        <w:t xml:space="preserve"> with</w:t>
      </w:r>
      <w:r w:rsidR="00AB4107">
        <w:rPr>
          <w:lang w:val="en-US"/>
        </w:rPr>
        <w:t xml:space="preserve"> large tone spacing</w:t>
      </w:r>
      <w:r>
        <w:rPr>
          <w:lang w:val="en-US"/>
        </w:rPr>
        <w:t xml:space="preserve"> need higher MPRs because they generate spurs that fall far outside the Tx band and give rise to spur failures as the tone powers increase. </w:t>
      </w:r>
      <w:r w:rsidR="00AB4107">
        <w:rPr>
          <w:lang w:val="en-US"/>
        </w:rPr>
        <w:t xml:space="preserve"> </w:t>
      </w:r>
    </w:p>
    <w:p w14:paraId="3140E05B" w14:textId="396F7605" w:rsidR="00F74244" w:rsidRDefault="00F74244" w:rsidP="00F74244">
      <w:pPr>
        <w:rPr>
          <w:b/>
          <w:lang w:val="en-US"/>
        </w:rPr>
      </w:pPr>
      <w:r>
        <w:rPr>
          <w:b/>
          <w:lang w:val="en-US"/>
        </w:rPr>
        <w:lastRenderedPageBreak/>
        <w:t>Observation</w:t>
      </w:r>
      <w:r w:rsidR="0067608C">
        <w:rPr>
          <w:b/>
          <w:lang w:val="en-US"/>
        </w:rPr>
        <w:t>1</w:t>
      </w:r>
      <w:r w:rsidRPr="00AF618E">
        <w:rPr>
          <w:b/>
          <w:lang w:val="en-US"/>
        </w:rPr>
        <w:t xml:space="preserve">: </w:t>
      </w:r>
      <w:r w:rsidR="0033436D">
        <w:rPr>
          <w:b/>
          <w:lang w:val="en-US"/>
        </w:rPr>
        <w:t>PSFCH</w:t>
      </w:r>
      <w:r>
        <w:rPr>
          <w:b/>
          <w:lang w:val="en-US"/>
        </w:rPr>
        <w:t xml:space="preserve"> channels with larger tone separations create spurs that fall far outside the band edge and require a larger MPR than those channels with smaller tone separations.</w:t>
      </w:r>
    </w:p>
    <w:p w14:paraId="7C534DAD" w14:textId="736BA89A" w:rsidR="0067608C" w:rsidRDefault="0067608C" w:rsidP="00F74244">
      <w:pPr>
        <w:rPr>
          <w:b/>
          <w:lang w:val="en-US"/>
        </w:rPr>
      </w:pPr>
      <w:r>
        <w:rPr>
          <w:b/>
          <w:lang w:val="en-US"/>
        </w:rPr>
        <w:t>Observation2</w:t>
      </w:r>
      <w:r w:rsidRPr="00AF618E">
        <w:rPr>
          <w:b/>
          <w:lang w:val="en-US"/>
        </w:rPr>
        <w:t xml:space="preserve">: </w:t>
      </w:r>
      <w:r w:rsidR="00F27CE0">
        <w:rPr>
          <w:b/>
          <w:lang w:val="en-US"/>
        </w:rPr>
        <w:t xml:space="preserve">The required MPR would be </w:t>
      </w:r>
      <w:proofErr w:type="gramStart"/>
      <w:r w:rsidR="00725C06">
        <w:rPr>
          <w:b/>
          <w:lang w:val="en-US"/>
        </w:rPr>
        <w:t>similar to</w:t>
      </w:r>
      <w:proofErr w:type="gramEnd"/>
      <w:r w:rsidR="00F27CE0">
        <w:rPr>
          <w:b/>
          <w:lang w:val="en-US"/>
        </w:rPr>
        <w:t xml:space="preserve"> the MPRs for LTE multi-cluster waveforms</w:t>
      </w:r>
    </w:p>
    <w:p w14:paraId="043001ED" w14:textId="0619FCF0" w:rsidR="00CA38FE" w:rsidRDefault="00CA38FE" w:rsidP="004758A8">
      <w:pPr>
        <w:pStyle w:val="Heading1"/>
        <w:rPr>
          <w:lang w:val="en-US"/>
        </w:rPr>
      </w:pPr>
      <w:r>
        <w:rPr>
          <w:lang w:val="en-US"/>
        </w:rPr>
        <w:t>IBE</w:t>
      </w:r>
    </w:p>
    <w:p w14:paraId="682B3E1B" w14:textId="261BB875" w:rsidR="00725C06" w:rsidRDefault="00725C06" w:rsidP="00F74244">
      <w:pPr>
        <w:rPr>
          <w:lang w:val="en-US"/>
        </w:rPr>
      </w:pPr>
      <w:r w:rsidRPr="00725C06">
        <w:rPr>
          <w:lang w:val="en-US"/>
        </w:rPr>
        <w:t xml:space="preserve">In </w:t>
      </w:r>
      <w:r>
        <w:rPr>
          <w:lang w:val="en-US"/>
        </w:rPr>
        <w:t xml:space="preserve">RAN4 the IBE has only been defined for single cluster waveforms. The IBE for multi-cluster waveforms have not been defined to date. </w:t>
      </w:r>
      <w:r w:rsidR="00190501">
        <w:rPr>
          <w:lang w:val="en-US"/>
        </w:rPr>
        <w:t>For multi-cluster waveforms we propose using a composite mask that is the maximum of the individual cluster masks.</w:t>
      </w:r>
      <w:r>
        <w:rPr>
          <w:lang w:val="en-US"/>
        </w:rPr>
        <w:t xml:space="preserve"> </w:t>
      </w:r>
      <w:r w:rsidR="003C2A44">
        <w:rPr>
          <w:lang w:val="en-US"/>
        </w:rPr>
        <w:t xml:space="preserve">For </w:t>
      </w:r>
      <w:r w:rsidR="00190501">
        <w:rPr>
          <w:lang w:val="en-US"/>
        </w:rPr>
        <w:t xml:space="preserve">RB </w:t>
      </w:r>
      <w:r w:rsidR="003C2A44">
        <w:rPr>
          <w:lang w:val="en-US"/>
        </w:rPr>
        <w:t xml:space="preserve">locations that have IMD’s due to the intermixing of </w:t>
      </w:r>
      <w:r w:rsidR="00190501">
        <w:rPr>
          <w:lang w:val="en-US"/>
        </w:rPr>
        <w:t>cluster</w:t>
      </w:r>
      <w:r w:rsidR="003C2A44">
        <w:rPr>
          <w:lang w:val="en-US"/>
        </w:rPr>
        <w:t xml:space="preserve">s we propose </w:t>
      </w:r>
      <w:r w:rsidR="00190501">
        <w:rPr>
          <w:lang w:val="en-US"/>
        </w:rPr>
        <w:t>selecting from 1 of 2</w:t>
      </w:r>
      <w:r w:rsidR="003C2A44">
        <w:rPr>
          <w:lang w:val="en-US"/>
        </w:rPr>
        <w:t xml:space="preserve"> options:</w:t>
      </w:r>
    </w:p>
    <w:p w14:paraId="0AB30746" w14:textId="74E3C902" w:rsidR="003C2A44" w:rsidRDefault="003C2A44" w:rsidP="003C2A44">
      <w:pPr>
        <w:pStyle w:val="ListParagraph"/>
        <w:numPr>
          <w:ilvl w:val="0"/>
          <w:numId w:val="44"/>
        </w:numPr>
        <w:rPr>
          <w:lang w:val="en-US"/>
        </w:rPr>
      </w:pPr>
      <w:r>
        <w:rPr>
          <w:lang w:val="en-US"/>
        </w:rPr>
        <w:t xml:space="preserve">Specify IMD exception </w:t>
      </w:r>
    </w:p>
    <w:p w14:paraId="498CF3F4" w14:textId="237C9928" w:rsidR="003C2A44" w:rsidRPr="003C2A44" w:rsidRDefault="00190501" w:rsidP="003C2A44">
      <w:pPr>
        <w:pStyle w:val="ListParagraph"/>
        <w:numPr>
          <w:ilvl w:val="0"/>
          <w:numId w:val="44"/>
        </w:numPr>
        <w:rPr>
          <w:lang w:val="en-US"/>
        </w:rPr>
      </w:pPr>
      <w:r>
        <w:rPr>
          <w:lang w:val="en-US"/>
        </w:rPr>
        <w:t>Specify a</w:t>
      </w:r>
      <w:r w:rsidR="00380FB1">
        <w:rPr>
          <w:lang w:val="en-US"/>
        </w:rPr>
        <w:t>n</w:t>
      </w:r>
      <w:r w:rsidR="003C2A44">
        <w:rPr>
          <w:lang w:val="en-US"/>
        </w:rPr>
        <w:t xml:space="preserve"> MPR relaxation in order to meet the IBE composite mask</w:t>
      </w:r>
    </w:p>
    <w:p w14:paraId="4433921C" w14:textId="73D40B0B" w:rsidR="00F74244" w:rsidRPr="00190501" w:rsidRDefault="00190501" w:rsidP="00F74244">
      <w:pPr>
        <w:rPr>
          <w:b/>
          <w:lang w:val="en-US"/>
        </w:rPr>
      </w:pPr>
      <w:r w:rsidRPr="00190501">
        <w:rPr>
          <w:b/>
          <w:lang w:val="en-US"/>
        </w:rPr>
        <w:t xml:space="preserve">Proposal </w:t>
      </w:r>
      <w:r w:rsidR="00E01E37">
        <w:rPr>
          <w:b/>
          <w:lang w:val="en-US"/>
        </w:rPr>
        <w:t>1</w:t>
      </w:r>
      <w:r w:rsidRPr="00190501">
        <w:rPr>
          <w:b/>
          <w:lang w:val="en-US"/>
        </w:rPr>
        <w:t xml:space="preserve">: For multi-cluster waveforms a composite </w:t>
      </w:r>
      <w:r w:rsidR="00BA3B16">
        <w:rPr>
          <w:b/>
          <w:lang w:val="en-US"/>
        </w:rPr>
        <w:t xml:space="preserve">IBE </w:t>
      </w:r>
      <w:r w:rsidRPr="00190501">
        <w:rPr>
          <w:b/>
          <w:lang w:val="en-US"/>
        </w:rPr>
        <w:t>mask should be created from the maximum of the individual cluster masks.</w:t>
      </w:r>
    </w:p>
    <w:p w14:paraId="57FD41E5" w14:textId="28B88954" w:rsidR="00190501" w:rsidRPr="00190501" w:rsidRDefault="00190501" w:rsidP="00190501">
      <w:pPr>
        <w:rPr>
          <w:b/>
          <w:lang w:val="en-US"/>
        </w:rPr>
      </w:pPr>
      <w:r w:rsidRPr="00190501">
        <w:rPr>
          <w:b/>
          <w:lang w:val="en-US"/>
        </w:rPr>
        <w:t xml:space="preserve">Proposal </w:t>
      </w:r>
      <w:r w:rsidR="00E01E37">
        <w:rPr>
          <w:b/>
          <w:lang w:val="en-US"/>
        </w:rPr>
        <w:t>2</w:t>
      </w:r>
      <w:r w:rsidRPr="00190501">
        <w:rPr>
          <w:b/>
          <w:lang w:val="en-US"/>
        </w:rPr>
        <w:t xml:space="preserve">: For in-band RB locations that have IMD’s due to intermixing of clusters </w:t>
      </w:r>
      <w:r w:rsidR="00E4547D">
        <w:rPr>
          <w:b/>
          <w:lang w:val="en-US"/>
        </w:rPr>
        <w:t>it is</w:t>
      </w:r>
      <w:r w:rsidRPr="00190501">
        <w:rPr>
          <w:b/>
          <w:lang w:val="en-US"/>
        </w:rPr>
        <w:t xml:space="preserve"> propose</w:t>
      </w:r>
      <w:r w:rsidR="00E4547D">
        <w:rPr>
          <w:b/>
          <w:lang w:val="en-US"/>
        </w:rPr>
        <w:t>d</w:t>
      </w:r>
      <w:r w:rsidRPr="00190501">
        <w:rPr>
          <w:b/>
          <w:lang w:val="en-US"/>
        </w:rPr>
        <w:t xml:space="preserve"> selecting from 1 of 2 options:</w:t>
      </w:r>
    </w:p>
    <w:p w14:paraId="29D5D6F1" w14:textId="43F97614" w:rsidR="00190501" w:rsidRPr="00190501" w:rsidRDefault="00190501" w:rsidP="00190501">
      <w:pPr>
        <w:pStyle w:val="ListParagraph"/>
        <w:numPr>
          <w:ilvl w:val="0"/>
          <w:numId w:val="45"/>
        </w:numPr>
        <w:rPr>
          <w:b/>
          <w:lang w:val="en-US"/>
        </w:rPr>
      </w:pPr>
      <w:r w:rsidRPr="00190501">
        <w:rPr>
          <w:b/>
          <w:lang w:val="en-US"/>
        </w:rPr>
        <w:t>Specify exception</w:t>
      </w:r>
      <w:r w:rsidR="00723099">
        <w:rPr>
          <w:b/>
          <w:lang w:val="en-US"/>
        </w:rPr>
        <w:t>s for IMDs</w:t>
      </w:r>
    </w:p>
    <w:p w14:paraId="0BA3B2D9" w14:textId="46C89AA4" w:rsidR="00190501" w:rsidRPr="00190501" w:rsidRDefault="00190501" w:rsidP="00190501">
      <w:pPr>
        <w:pStyle w:val="ListParagraph"/>
        <w:numPr>
          <w:ilvl w:val="0"/>
          <w:numId w:val="45"/>
        </w:numPr>
        <w:rPr>
          <w:b/>
          <w:lang w:val="en-US"/>
        </w:rPr>
      </w:pPr>
      <w:r w:rsidRPr="00190501">
        <w:rPr>
          <w:b/>
          <w:lang w:val="en-US"/>
        </w:rPr>
        <w:t>Specify an MPR relaxation</w:t>
      </w:r>
      <w:r w:rsidR="00723099">
        <w:rPr>
          <w:b/>
          <w:lang w:val="en-US"/>
        </w:rPr>
        <w:t xml:space="preserve"> for those tone combinations</w:t>
      </w:r>
      <w:r w:rsidRPr="00190501">
        <w:rPr>
          <w:b/>
          <w:lang w:val="en-US"/>
        </w:rPr>
        <w:t xml:space="preserve"> in order to meet the composite</w:t>
      </w:r>
      <w:r w:rsidR="00723099">
        <w:rPr>
          <w:b/>
          <w:lang w:val="en-US"/>
        </w:rPr>
        <w:t xml:space="preserve"> IBE</w:t>
      </w:r>
      <w:r w:rsidRPr="00190501">
        <w:rPr>
          <w:b/>
          <w:lang w:val="en-US"/>
        </w:rPr>
        <w:t xml:space="preserve"> mask</w:t>
      </w:r>
    </w:p>
    <w:p w14:paraId="2B808E95" w14:textId="37609265" w:rsidR="00190501" w:rsidRDefault="00CA38FE" w:rsidP="00CA38FE">
      <w:pPr>
        <w:pStyle w:val="Heading1"/>
        <w:rPr>
          <w:lang w:val="en-US"/>
        </w:rPr>
      </w:pPr>
      <w:r>
        <w:rPr>
          <w:lang w:val="en-US"/>
        </w:rPr>
        <w:t>A-MPR</w:t>
      </w:r>
    </w:p>
    <w:p w14:paraId="2AF34083" w14:textId="77777777" w:rsidR="00CA38FE" w:rsidRDefault="00CA38FE" w:rsidP="00CA38FE">
      <w:pPr>
        <w:rPr>
          <w:lang w:val="en-US"/>
        </w:rPr>
      </w:pPr>
      <w:r>
        <w:rPr>
          <w:lang w:val="en-US"/>
        </w:rPr>
        <w:t xml:space="preserve">The NR V2X frequencies in band 47 have additional FCC emissions requirements captured in [4] that must be met. These requirements have been transcribed below:  </w:t>
      </w:r>
    </w:p>
    <w:p w14:paraId="50FE997C" w14:textId="77777777" w:rsidR="00CA38FE" w:rsidRDefault="00CA38FE" w:rsidP="00CA38FE">
      <w:pPr>
        <w:rPr>
          <w:lang w:val="en-US"/>
        </w:rPr>
      </w:pPr>
    </w:p>
    <w:tbl>
      <w:tblPr>
        <w:tblW w:w="5240" w:type="dxa"/>
        <w:jc w:val="center"/>
        <w:tblLook w:val="04A0" w:firstRow="1" w:lastRow="0" w:firstColumn="1" w:lastColumn="0" w:noHBand="0" w:noVBand="1"/>
      </w:tblPr>
      <w:tblGrid>
        <w:gridCol w:w="880"/>
        <w:gridCol w:w="1153"/>
        <w:gridCol w:w="1480"/>
        <w:gridCol w:w="1740"/>
      </w:tblGrid>
      <w:tr w:rsidR="00CA38FE" w:rsidRPr="00174FBD" w14:paraId="20A3DD3A" w14:textId="77777777" w:rsidTr="000E7025">
        <w:trPr>
          <w:trHeight w:val="750"/>
          <w:jc w:val="center"/>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531737" w14:textId="77777777" w:rsidR="00CA38FE" w:rsidRPr="00174FBD" w:rsidRDefault="00CA38FE" w:rsidP="000E7025">
            <w:pPr>
              <w:spacing w:after="0"/>
              <w:jc w:val="center"/>
              <w:rPr>
                <w:rFonts w:ascii="Calibri" w:hAnsi="Calibri" w:cs="Calibri"/>
                <w:color w:val="000000"/>
                <w:sz w:val="22"/>
                <w:szCs w:val="22"/>
                <w:lang w:val="en-US"/>
              </w:rPr>
            </w:pPr>
            <w:proofErr w:type="spellStart"/>
            <w:r w:rsidRPr="00174FBD">
              <w:rPr>
                <w:rFonts w:ascii="Calibri" w:hAnsi="Calibri" w:cs="Calibri"/>
                <w:color w:val="000000"/>
                <w:sz w:val="22"/>
                <w:szCs w:val="22"/>
                <w:lang w:val="en-US"/>
              </w:rPr>
              <w:t>ΔfOOB</w:t>
            </w:r>
            <w:proofErr w:type="spellEnd"/>
            <w:r w:rsidRPr="00174FBD">
              <w:rPr>
                <w:rFonts w:ascii="Calibri" w:hAnsi="Calibri" w:cs="Calibri"/>
                <w:color w:val="000000"/>
                <w:sz w:val="22"/>
                <w:szCs w:val="22"/>
                <w:lang w:val="en-US"/>
              </w:rPr>
              <w:t xml:space="preserve"> (MHz)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14:paraId="58AE8BC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Frequency (MHz)</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3B34E8E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Emission Limit (dBm) </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14:paraId="77D77B5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Measurement Bandwidth </w:t>
            </w:r>
          </w:p>
        </w:tc>
      </w:tr>
      <w:tr w:rsidR="00CA38FE" w:rsidRPr="00174FBD" w14:paraId="751BEC8A"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96AB01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1CF26123"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5765</w:t>
            </w:r>
          </w:p>
        </w:tc>
        <w:tc>
          <w:tcPr>
            <w:tcW w:w="1480" w:type="dxa"/>
            <w:tcBorders>
              <w:top w:val="nil"/>
              <w:left w:val="nil"/>
              <w:bottom w:val="single" w:sz="4" w:space="0" w:color="auto"/>
              <w:right w:val="single" w:sz="4" w:space="0" w:color="auto"/>
            </w:tcBorders>
            <w:shd w:val="clear" w:color="auto" w:fill="auto"/>
            <w:noWrap/>
            <w:vAlign w:val="bottom"/>
            <w:hideMark/>
          </w:tcPr>
          <w:p w14:paraId="19853C1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275EA63B"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r w:rsidR="00CA38FE" w:rsidRPr="00174FBD" w14:paraId="6B755A46"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4E526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16BD402C"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5825</w:t>
            </w:r>
          </w:p>
        </w:tc>
        <w:tc>
          <w:tcPr>
            <w:tcW w:w="1480" w:type="dxa"/>
            <w:tcBorders>
              <w:top w:val="nil"/>
              <w:left w:val="nil"/>
              <w:bottom w:val="single" w:sz="4" w:space="0" w:color="auto"/>
              <w:right w:val="single" w:sz="4" w:space="0" w:color="auto"/>
            </w:tcBorders>
            <w:shd w:val="clear" w:color="auto" w:fill="auto"/>
            <w:noWrap/>
            <w:vAlign w:val="bottom"/>
            <w:hideMark/>
          </w:tcPr>
          <w:p w14:paraId="7553954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22928E99"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143FC7EC"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0150F5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12FA4344"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5845</w:t>
            </w:r>
          </w:p>
        </w:tc>
        <w:tc>
          <w:tcPr>
            <w:tcW w:w="1480" w:type="dxa"/>
            <w:tcBorders>
              <w:top w:val="nil"/>
              <w:left w:val="nil"/>
              <w:bottom w:val="single" w:sz="4" w:space="0" w:color="auto"/>
              <w:right w:val="single" w:sz="4" w:space="0" w:color="auto"/>
            </w:tcBorders>
            <w:shd w:val="clear" w:color="auto" w:fill="auto"/>
            <w:noWrap/>
            <w:vAlign w:val="bottom"/>
            <w:hideMark/>
          </w:tcPr>
          <w:p w14:paraId="25F34632"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00D8B26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068CD1F3"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DE5614E"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13D2D80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5855</w:t>
            </w:r>
          </w:p>
        </w:tc>
        <w:tc>
          <w:tcPr>
            <w:tcW w:w="1480" w:type="dxa"/>
            <w:tcBorders>
              <w:top w:val="nil"/>
              <w:left w:val="nil"/>
              <w:bottom w:val="single" w:sz="4" w:space="0" w:color="auto"/>
              <w:right w:val="single" w:sz="4" w:space="0" w:color="auto"/>
            </w:tcBorders>
            <w:shd w:val="clear" w:color="auto" w:fill="auto"/>
            <w:noWrap/>
            <w:vAlign w:val="bottom"/>
            <w:hideMark/>
          </w:tcPr>
          <w:p w14:paraId="1AB52E0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3B37499"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324C5BCD"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35F0BE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50577DD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5863</w:t>
            </w:r>
          </w:p>
        </w:tc>
        <w:tc>
          <w:tcPr>
            <w:tcW w:w="1480" w:type="dxa"/>
            <w:tcBorders>
              <w:top w:val="nil"/>
              <w:left w:val="nil"/>
              <w:bottom w:val="single" w:sz="4" w:space="0" w:color="auto"/>
              <w:right w:val="single" w:sz="4" w:space="0" w:color="auto"/>
            </w:tcBorders>
            <w:shd w:val="clear" w:color="auto" w:fill="auto"/>
            <w:noWrap/>
            <w:vAlign w:val="bottom"/>
            <w:hideMark/>
          </w:tcPr>
          <w:p w14:paraId="4783AFC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21FAEC6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3BD5280C"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66A914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31542769"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5865</w:t>
            </w:r>
          </w:p>
        </w:tc>
        <w:tc>
          <w:tcPr>
            <w:tcW w:w="1480" w:type="dxa"/>
            <w:tcBorders>
              <w:top w:val="nil"/>
              <w:left w:val="nil"/>
              <w:bottom w:val="single" w:sz="4" w:space="0" w:color="auto"/>
              <w:right w:val="single" w:sz="4" w:space="0" w:color="auto"/>
            </w:tcBorders>
            <w:shd w:val="clear" w:color="auto" w:fill="auto"/>
            <w:noWrap/>
            <w:vAlign w:val="bottom"/>
            <w:hideMark/>
          </w:tcPr>
          <w:p w14:paraId="0478C01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276DD6C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3EF0150B"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B6E1E1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bottom"/>
            <w:hideMark/>
          </w:tcPr>
          <w:p w14:paraId="4A852801"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15C8B7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740" w:type="dxa"/>
            <w:tcBorders>
              <w:top w:val="nil"/>
              <w:left w:val="nil"/>
              <w:bottom w:val="single" w:sz="4" w:space="0" w:color="auto"/>
              <w:right w:val="single" w:sz="4" w:space="0" w:color="auto"/>
            </w:tcBorders>
            <w:shd w:val="clear" w:color="auto" w:fill="auto"/>
            <w:noWrap/>
            <w:vAlign w:val="bottom"/>
            <w:hideMark/>
          </w:tcPr>
          <w:p w14:paraId="06607EE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r>
      <w:tr w:rsidR="00CA38FE" w:rsidRPr="00174FBD" w14:paraId="1A0DA41B"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B640D4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685E452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5905</w:t>
            </w:r>
          </w:p>
        </w:tc>
        <w:tc>
          <w:tcPr>
            <w:tcW w:w="1480" w:type="dxa"/>
            <w:tcBorders>
              <w:top w:val="nil"/>
              <w:left w:val="nil"/>
              <w:bottom w:val="single" w:sz="4" w:space="0" w:color="auto"/>
              <w:right w:val="single" w:sz="4" w:space="0" w:color="auto"/>
            </w:tcBorders>
            <w:shd w:val="clear" w:color="auto" w:fill="auto"/>
            <w:noWrap/>
            <w:vAlign w:val="bottom"/>
            <w:hideMark/>
          </w:tcPr>
          <w:p w14:paraId="03905D7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545D4ADB"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221BF517"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85D4C8B"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4E4E34D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5907</w:t>
            </w:r>
          </w:p>
        </w:tc>
        <w:tc>
          <w:tcPr>
            <w:tcW w:w="1480" w:type="dxa"/>
            <w:tcBorders>
              <w:top w:val="nil"/>
              <w:left w:val="nil"/>
              <w:bottom w:val="single" w:sz="4" w:space="0" w:color="auto"/>
              <w:right w:val="single" w:sz="4" w:space="0" w:color="auto"/>
            </w:tcBorders>
            <w:shd w:val="clear" w:color="auto" w:fill="auto"/>
            <w:noWrap/>
            <w:vAlign w:val="bottom"/>
            <w:hideMark/>
          </w:tcPr>
          <w:p w14:paraId="294D9C0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2167B1C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2DC07489"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5962602"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0C3CEC7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5915</w:t>
            </w:r>
          </w:p>
        </w:tc>
        <w:tc>
          <w:tcPr>
            <w:tcW w:w="1480" w:type="dxa"/>
            <w:tcBorders>
              <w:top w:val="nil"/>
              <w:left w:val="nil"/>
              <w:bottom w:val="single" w:sz="4" w:space="0" w:color="auto"/>
              <w:right w:val="single" w:sz="4" w:space="0" w:color="auto"/>
            </w:tcBorders>
            <w:shd w:val="clear" w:color="auto" w:fill="auto"/>
            <w:noWrap/>
            <w:vAlign w:val="bottom"/>
            <w:hideMark/>
          </w:tcPr>
          <w:p w14:paraId="1848BE51"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9B9F38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5CF5D952"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43743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75CEA15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5925</w:t>
            </w:r>
          </w:p>
        </w:tc>
        <w:tc>
          <w:tcPr>
            <w:tcW w:w="1480" w:type="dxa"/>
            <w:tcBorders>
              <w:top w:val="nil"/>
              <w:left w:val="nil"/>
              <w:bottom w:val="single" w:sz="4" w:space="0" w:color="auto"/>
              <w:right w:val="single" w:sz="4" w:space="0" w:color="auto"/>
            </w:tcBorders>
            <w:shd w:val="clear" w:color="auto" w:fill="auto"/>
            <w:noWrap/>
            <w:vAlign w:val="bottom"/>
            <w:hideMark/>
          </w:tcPr>
          <w:p w14:paraId="1310A9B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014C08A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289E92BB"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E9EFE0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14840C51"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5945</w:t>
            </w:r>
          </w:p>
        </w:tc>
        <w:tc>
          <w:tcPr>
            <w:tcW w:w="1480" w:type="dxa"/>
            <w:tcBorders>
              <w:top w:val="nil"/>
              <w:left w:val="nil"/>
              <w:bottom w:val="single" w:sz="4" w:space="0" w:color="auto"/>
              <w:right w:val="single" w:sz="4" w:space="0" w:color="auto"/>
            </w:tcBorders>
            <w:shd w:val="clear" w:color="auto" w:fill="auto"/>
            <w:noWrap/>
            <w:vAlign w:val="bottom"/>
            <w:hideMark/>
          </w:tcPr>
          <w:p w14:paraId="28D934A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2FC4B69E"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6B620C88"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66FE6C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6DF527C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6105</w:t>
            </w:r>
          </w:p>
        </w:tc>
        <w:tc>
          <w:tcPr>
            <w:tcW w:w="1480" w:type="dxa"/>
            <w:tcBorders>
              <w:top w:val="nil"/>
              <w:left w:val="nil"/>
              <w:bottom w:val="single" w:sz="4" w:space="0" w:color="auto"/>
              <w:right w:val="single" w:sz="4" w:space="0" w:color="auto"/>
            </w:tcBorders>
            <w:shd w:val="clear" w:color="auto" w:fill="auto"/>
            <w:noWrap/>
            <w:vAlign w:val="bottom"/>
            <w:hideMark/>
          </w:tcPr>
          <w:p w14:paraId="7103BBB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3744F46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bl>
    <w:p w14:paraId="2B879ED1" w14:textId="77777777" w:rsidR="00CA38FE" w:rsidRDefault="00CA38FE" w:rsidP="00CA38FE">
      <w:pPr>
        <w:rPr>
          <w:lang w:val="en-US"/>
        </w:rPr>
      </w:pPr>
    </w:p>
    <w:p w14:paraId="0CE47080" w14:textId="4A791762" w:rsidR="00CA38FE" w:rsidRDefault="00CA38FE" w:rsidP="00CA38FE">
      <w:pPr>
        <w:jc w:val="center"/>
        <w:rPr>
          <w:lang w:val="en-US"/>
        </w:rPr>
      </w:pPr>
      <w:r>
        <w:rPr>
          <w:lang w:val="en-US"/>
        </w:rPr>
        <w:t xml:space="preserve">Table </w:t>
      </w:r>
      <w:r w:rsidR="00F13003">
        <w:rPr>
          <w:lang w:val="en-US"/>
        </w:rPr>
        <w:t>3</w:t>
      </w:r>
      <w:r>
        <w:rPr>
          <w:lang w:val="en-US"/>
        </w:rPr>
        <w:t xml:space="preserve"> – FCC emissions requirements from 5685 to 5905</w:t>
      </w:r>
    </w:p>
    <w:p w14:paraId="32BC974C" w14:textId="2282E977" w:rsidR="00CA38FE" w:rsidRDefault="00CA38FE" w:rsidP="00CA38FE">
      <w:pPr>
        <w:rPr>
          <w:lang w:val="en-US"/>
        </w:rPr>
      </w:pPr>
      <w:r>
        <w:rPr>
          <w:lang w:val="en-US"/>
        </w:rPr>
        <w:t xml:space="preserve">It is proposed that the emissions requirements given in Table </w:t>
      </w:r>
      <w:r w:rsidR="00F13003">
        <w:rPr>
          <w:lang w:val="en-US"/>
        </w:rPr>
        <w:t>3</w:t>
      </w:r>
      <w:r>
        <w:rPr>
          <w:lang w:val="en-US"/>
        </w:rPr>
        <w:t xml:space="preserve"> be made a part of the V2X A-MPR specification. </w:t>
      </w:r>
    </w:p>
    <w:p w14:paraId="08050C50" w14:textId="77777777" w:rsidR="00CA38FE" w:rsidRDefault="00CA38FE" w:rsidP="00CA38FE">
      <w:pPr>
        <w:rPr>
          <w:lang w:val="en-US"/>
        </w:rPr>
      </w:pPr>
      <w:r>
        <w:rPr>
          <w:lang w:val="en-US"/>
        </w:rPr>
        <w:t>Also, in E-UTRA V2X a UE within 5855MHz to 5905MHz must conform to an additional spectrum mask as per ETSI EN 302 571 when NS-33 or NS_34 are signaled. These requirements are presented in the following table</w:t>
      </w:r>
    </w:p>
    <w:p w14:paraId="44B61A66" w14:textId="77777777" w:rsidR="00CA38FE" w:rsidRDefault="00CA38FE" w:rsidP="00CA38FE">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A38FE" w:rsidRPr="001D386E" w14:paraId="6DDECCFF" w14:textId="77777777" w:rsidTr="000E7025">
        <w:trPr>
          <w:cantSplit/>
          <w:trHeight w:val="276"/>
          <w:jc w:val="center"/>
        </w:trPr>
        <w:tc>
          <w:tcPr>
            <w:tcW w:w="7203" w:type="dxa"/>
            <w:gridSpan w:val="3"/>
            <w:vAlign w:val="center"/>
          </w:tcPr>
          <w:p w14:paraId="191FA3E2" w14:textId="77777777" w:rsidR="00CA38FE" w:rsidRPr="001D386E" w:rsidRDefault="00CA38FE" w:rsidP="000E7025">
            <w:pPr>
              <w:pStyle w:val="TAH"/>
              <w:rPr>
                <w:rFonts w:cs="Arial"/>
              </w:rPr>
            </w:pPr>
            <w:r w:rsidRPr="001D386E">
              <w:rPr>
                <w:rFonts w:cs="Arial"/>
              </w:rPr>
              <w:lastRenderedPageBreak/>
              <w:t>Spectrum emission limit (dBm EIRP)/ Channel bandwidth</w:t>
            </w:r>
          </w:p>
        </w:tc>
      </w:tr>
      <w:tr w:rsidR="00CA38FE" w:rsidRPr="001D386E" w14:paraId="4B5E11B4" w14:textId="77777777" w:rsidTr="000E7025">
        <w:trPr>
          <w:cantSplit/>
          <w:trHeight w:val="368"/>
          <w:jc w:val="center"/>
        </w:trPr>
        <w:tc>
          <w:tcPr>
            <w:tcW w:w="1555" w:type="dxa"/>
            <w:vAlign w:val="center"/>
          </w:tcPr>
          <w:p w14:paraId="176B3FCF" w14:textId="77777777" w:rsidR="00CA38FE" w:rsidRPr="001D386E" w:rsidRDefault="00CA38FE" w:rsidP="000E7025">
            <w:pPr>
              <w:pStyle w:val="TAH"/>
              <w:rPr>
                <w:rFonts w:cs="Arial"/>
              </w:rPr>
            </w:pPr>
            <w:proofErr w:type="spellStart"/>
            <w:r w:rsidRPr="001D386E">
              <w:rPr>
                <w:rFonts w:cs="Arial"/>
              </w:rPr>
              <w:t>Δf</w:t>
            </w:r>
            <w:r w:rsidRPr="001D386E">
              <w:rPr>
                <w:rFonts w:cs="Arial"/>
                <w:vertAlign w:val="subscript"/>
              </w:rPr>
              <w:t>OOB</w:t>
            </w:r>
            <w:proofErr w:type="spellEnd"/>
          </w:p>
          <w:p w14:paraId="087BB4B4" w14:textId="77777777" w:rsidR="00CA38FE" w:rsidRPr="001D386E" w:rsidRDefault="00CA38FE" w:rsidP="000E7025">
            <w:pPr>
              <w:pStyle w:val="TAH"/>
              <w:rPr>
                <w:rFonts w:cs="Arial"/>
              </w:rPr>
            </w:pPr>
            <w:r w:rsidRPr="001D386E">
              <w:rPr>
                <w:rFonts w:cs="Arial"/>
              </w:rPr>
              <w:t>(MHz)</w:t>
            </w:r>
          </w:p>
        </w:tc>
        <w:tc>
          <w:tcPr>
            <w:tcW w:w="3832" w:type="dxa"/>
            <w:vAlign w:val="center"/>
          </w:tcPr>
          <w:p w14:paraId="0CD02254" w14:textId="77777777" w:rsidR="00CA38FE" w:rsidRPr="001D386E" w:rsidRDefault="00CA38FE" w:rsidP="000E7025">
            <w:pPr>
              <w:pStyle w:val="TAH"/>
              <w:rPr>
                <w:rFonts w:cs="Arial"/>
              </w:rPr>
            </w:pPr>
            <w:r w:rsidRPr="001D386E">
              <w:rPr>
                <w:rFonts w:cs="Arial"/>
              </w:rPr>
              <w:t>10 MHz</w:t>
            </w:r>
          </w:p>
        </w:tc>
        <w:tc>
          <w:tcPr>
            <w:tcW w:w="1816" w:type="dxa"/>
            <w:vAlign w:val="center"/>
          </w:tcPr>
          <w:p w14:paraId="27C1A830" w14:textId="77777777" w:rsidR="00CA38FE" w:rsidRPr="001D386E" w:rsidRDefault="00CA38FE" w:rsidP="000E7025">
            <w:pPr>
              <w:pStyle w:val="TAH"/>
              <w:rPr>
                <w:rFonts w:cs="Arial"/>
              </w:rPr>
            </w:pPr>
            <w:r w:rsidRPr="001D386E">
              <w:rPr>
                <w:rFonts w:cs="Arial"/>
              </w:rPr>
              <w:t>Measurement bandwidth</w:t>
            </w:r>
          </w:p>
        </w:tc>
      </w:tr>
      <w:tr w:rsidR="00CA38FE" w:rsidRPr="001D386E" w14:paraId="2B11F1EA" w14:textId="77777777" w:rsidTr="000E7025">
        <w:trPr>
          <w:cantSplit/>
          <w:trHeight w:val="462"/>
          <w:jc w:val="center"/>
        </w:trPr>
        <w:tc>
          <w:tcPr>
            <w:tcW w:w="1555" w:type="dxa"/>
          </w:tcPr>
          <w:p w14:paraId="72D9FF2E" w14:textId="77777777" w:rsidR="00CA38FE" w:rsidRPr="001D386E" w:rsidRDefault="00CA38FE" w:rsidP="000E7025">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301F6AEB" w14:textId="77777777" w:rsidR="00CA38FE" w:rsidRPr="001D386E" w:rsidRDefault="00CA38FE" w:rsidP="000E7025">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40557FBB" w14:textId="77777777" w:rsidR="00CA38FE" w:rsidRPr="001D386E" w:rsidRDefault="00CA38FE" w:rsidP="000E7025">
            <w:pPr>
              <w:pStyle w:val="TAC"/>
              <w:rPr>
                <w:rFonts w:cs="Arial"/>
              </w:rPr>
            </w:pPr>
            <w:r w:rsidRPr="001D386E">
              <w:rPr>
                <w:rFonts w:cs="Arial"/>
              </w:rPr>
              <w:t>100 kHz</w:t>
            </w:r>
          </w:p>
        </w:tc>
      </w:tr>
      <w:tr w:rsidR="00CA38FE" w:rsidRPr="001D386E" w14:paraId="0188F267" w14:textId="77777777" w:rsidTr="000E7025">
        <w:trPr>
          <w:cantSplit/>
          <w:trHeight w:val="380"/>
          <w:jc w:val="center"/>
        </w:trPr>
        <w:tc>
          <w:tcPr>
            <w:tcW w:w="1555" w:type="dxa"/>
          </w:tcPr>
          <w:p w14:paraId="6A7A74B3" w14:textId="77777777" w:rsidR="00CA38FE" w:rsidRPr="001D386E" w:rsidRDefault="00CA38FE" w:rsidP="000E7025">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76DBD6EF" w14:textId="77777777" w:rsidR="00CA38FE" w:rsidRPr="001D386E" w:rsidRDefault="00CA38FE" w:rsidP="000E7025">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6AD17BD8" w14:textId="77777777" w:rsidR="00CA38FE" w:rsidRPr="001D386E" w:rsidRDefault="00CA38FE" w:rsidP="000E7025">
            <w:pPr>
              <w:pStyle w:val="TAC"/>
              <w:rPr>
                <w:rFonts w:cs="Arial"/>
              </w:rPr>
            </w:pPr>
            <w:r w:rsidRPr="001D386E">
              <w:rPr>
                <w:rFonts w:cs="Arial"/>
              </w:rPr>
              <w:t>100 kHz</w:t>
            </w:r>
          </w:p>
        </w:tc>
      </w:tr>
      <w:tr w:rsidR="00CA38FE" w:rsidRPr="001D386E" w14:paraId="498D6E2B" w14:textId="77777777" w:rsidTr="000E7025">
        <w:trPr>
          <w:cantSplit/>
          <w:trHeight w:val="361"/>
          <w:jc w:val="center"/>
        </w:trPr>
        <w:tc>
          <w:tcPr>
            <w:tcW w:w="1555" w:type="dxa"/>
          </w:tcPr>
          <w:p w14:paraId="7DC8004D" w14:textId="77777777" w:rsidR="00CA38FE" w:rsidRPr="001D386E" w:rsidRDefault="00CA38FE" w:rsidP="000E7025">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7CC09496" w14:textId="77777777" w:rsidR="00CA38FE" w:rsidRPr="001D386E" w:rsidRDefault="00CA38FE" w:rsidP="000E7025">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03114B96" w14:textId="77777777" w:rsidR="00CA38FE" w:rsidRPr="001D386E" w:rsidRDefault="00CA38FE" w:rsidP="000E7025">
            <w:pPr>
              <w:pStyle w:val="TAC"/>
              <w:rPr>
                <w:rFonts w:cs="Arial"/>
              </w:rPr>
            </w:pPr>
            <w:r w:rsidRPr="001D386E">
              <w:rPr>
                <w:rFonts w:cs="Arial"/>
              </w:rPr>
              <w:t>100 kHz</w:t>
            </w:r>
          </w:p>
        </w:tc>
      </w:tr>
    </w:tbl>
    <w:p w14:paraId="51C835B3" w14:textId="77777777" w:rsidR="00CA38FE" w:rsidRDefault="00CA38FE" w:rsidP="00CA38FE">
      <w:pPr>
        <w:jc w:val="center"/>
        <w:rPr>
          <w:lang w:val="en-US"/>
        </w:rPr>
      </w:pPr>
    </w:p>
    <w:p w14:paraId="08C0E8DA" w14:textId="13432C10" w:rsidR="00CA38FE" w:rsidRDefault="00CA38FE" w:rsidP="00CA38FE">
      <w:pPr>
        <w:jc w:val="center"/>
        <w:rPr>
          <w:lang w:val="en-US"/>
        </w:rPr>
      </w:pPr>
      <w:r>
        <w:rPr>
          <w:lang w:val="en-US"/>
        </w:rPr>
        <w:t xml:space="preserve">Table </w:t>
      </w:r>
      <w:r w:rsidR="00F13003">
        <w:rPr>
          <w:lang w:val="en-US"/>
        </w:rPr>
        <w:t>4</w:t>
      </w:r>
      <w:r>
        <w:rPr>
          <w:lang w:val="en-US"/>
        </w:rPr>
        <w:t xml:space="preserve"> – Additional E-UTRA V2X emissions</w:t>
      </w:r>
    </w:p>
    <w:p w14:paraId="6BB197FC" w14:textId="663933B4" w:rsidR="00CA38FE" w:rsidRDefault="00CA38FE" w:rsidP="00CA38FE">
      <w:pPr>
        <w:rPr>
          <w:lang w:val="en-US"/>
        </w:rPr>
      </w:pPr>
      <w:r>
        <w:rPr>
          <w:lang w:val="en-US"/>
        </w:rPr>
        <w:t xml:space="preserve">It is proposed that the emissions requirements given in Table </w:t>
      </w:r>
      <w:r w:rsidR="007654A2">
        <w:rPr>
          <w:lang w:val="en-US"/>
        </w:rPr>
        <w:t>4</w:t>
      </w:r>
      <w:r>
        <w:rPr>
          <w:lang w:val="en-US"/>
        </w:rPr>
        <w:t xml:space="preserve"> be made a part of the V2X A-MPR specification.</w:t>
      </w:r>
    </w:p>
    <w:p w14:paraId="17207F82" w14:textId="77777777" w:rsidR="00CA38FE" w:rsidRDefault="00CA38FE" w:rsidP="00CA38FE">
      <w:pPr>
        <w:rPr>
          <w:lang w:val="en-US"/>
        </w:rPr>
      </w:pPr>
    </w:p>
    <w:p w14:paraId="54C85380" w14:textId="374FF765" w:rsidR="00CA38FE" w:rsidRPr="00124ACD" w:rsidRDefault="00CA38FE" w:rsidP="00CA38FE">
      <w:pPr>
        <w:rPr>
          <w:b/>
          <w:lang w:val="en-US"/>
        </w:rPr>
      </w:pPr>
      <w:r w:rsidRPr="00124ACD">
        <w:rPr>
          <w:b/>
          <w:lang w:val="en-US"/>
        </w:rPr>
        <w:t xml:space="preserve">Proposal </w:t>
      </w:r>
      <w:r w:rsidR="00E01E37">
        <w:rPr>
          <w:b/>
          <w:lang w:val="en-US"/>
        </w:rPr>
        <w:t>3</w:t>
      </w:r>
      <w:r w:rsidRPr="00124ACD">
        <w:rPr>
          <w:b/>
          <w:lang w:val="en-US"/>
        </w:rPr>
        <w:t xml:space="preserve">: Emissions requirements given in Table </w:t>
      </w:r>
      <w:r w:rsidR="00F13003">
        <w:rPr>
          <w:b/>
          <w:lang w:val="en-US"/>
        </w:rPr>
        <w:t>3</w:t>
      </w:r>
      <w:r w:rsidRPr="00124ACD">
        <w:rPr>
          <w:b/>
          <w:lang w:val="en-US"/>
        </w:rPr>
        <w:t xml:space="preserve"> should be made a part of the V2X A-MPR specification</w:t>
      </w:r>
    </w:p>
    <w:p w14:paraId="243834F6" w14:textId="58DDF059" w:rsidR="00CA38FE" w:rsidRPr="00124ACD" w:rsidRDefault="00CA38FE" w:rsidP="00CA38FE">
      <w:pPr>
        <w:rPr>
          <w:b/>
          <w:lang w:val="en-US"/>
        </w:rPr>
      </w:pPr>
      <w:r w:rsidRPr="00124ACD">
        <w:rPr>
          <w:b/>
          <w:lang w:val="en-US"/>
        </w:rPr>
        <w:t xml:space="preserve">Proposal </w:t>
      </w:r>
      <w:r w:rsidR="00E01E37">
        <w:rPr>
          <w:b/>
          <w:lang w:val="en-US"/>
        </w:rPr>
        <w:t>4</w:t>
      </w:r>
      <w:r w:rsidRPr="00124ACD">
        <w:rPr>
          <w:b/>
          <w:lang w:val="en-US"/>
        </w:rPr>
        <w:t xml:space="preserve">: Emissions requirements given in Table </w:t>
      </w:r>
      <w:r w:rsidR="00F13003">
        <w:rPr>
          <w:b/>
          <w:lang w:val="en-US"/>
        </w:rPr>
        <w:t>4</w:t>
      </w:r>
      <w:r w:rsidRPr="00124ACD">
        <w:rPr>
          <w:b/>
          <w:lang w:val="en-US"/>
        </w:rPr>
        <w:t xml:space="preserve"> should be made a part of the V2X A-MPR specification</w:t>
      </w:r>
    </w:p>
    <w:p w14:paraId="0EDD10A6" w14:textId="660C8372" w:rsidR="00CA38FE" w:rsidRDefault="00E01E37" w:rsidP="00E01E37">
      <w:pPr>
        <w:pStyle w:val="Heading1"/>
        <w:rPr>
          <w:lang w:val="en-US"/>
        </w:rPr>
      </w:pPr>
      <w:r>
        <w:rPr>
          <w:lang w:val="en-US"/>
        </w:rPr>
        <w:t>System Performance Impact</w:t>
      </w:r>
    </w:p>
    <w:p w14:paraId="091B9E02" w14:textId="04368583" w:rsidR="00E01E37" w:rsidRDefault="001153FB" w:rsidP="00E01E37">
      <w:pPr>
        <w:rPr>
          <w:lang w:val="en-US"/>
        </w:rPr>
      </w:pPr>
      <w:r>
        <w:rPr>
          <w:lang w:val="en-US"/>
        </w:rPr>
        <w:t>In the previous RAN4 meeting, companies raise the question</w:t>
      </w:r>
      <w:r w:rsidR="006D1E89">
        <w:rPr>
          <w:lang w:val="en-US"/>
        </w:rPr>
        <w:t xml:space="preserve"> about the system performance impact caused by the large MPR required to support concurrent PSFCH transmission. To the best of our knowledge, such question is within RAN1 scope. If there should be any rule to decide the number of PSFCH to transmit and which PSFCH to prioritize for transmission, that discussion is best handled by RAN1.</w:t>
      </w:r>
    </w:p>
    <w:p w14:paraId="3AACB427" w14:textId="70CC7BB4" w:rsidR="006D1E89" w:rsidRDefault="006D1E89" w:rsidP="00E01E37">
      <w:pPr>
        <w:rPr>
          <w:lang w:val="en-US"/>
        </w:rPr>
      </w:pPr>
      <w:r>
        <w:rPr>
          <w:lang w:val="en-US"/>
        </w:rPr>
        <w:t>Nevertheless, for the sake of completeness, we present here our system evaluation. In this setting, we show that even without any special rule, there is no system performance impact at all. The details are as follow</w:t>
      </w:r>
      <w:r w:rsidR="00221994">
        <w:rPr>
          <w:lang w:val="en-US"/>
        </w:rPr>
        <w:t>s:</w:t>
      </w:r>
    </w:p>
    <w:p w14:paraId="730B8047" w14:textId="6FB28B98" w:rsidR="006D1E89" w:rsidRDefault="00221994" w:rsidP="006D1E89">
      <w:r>
        <w:t>W</w:t>
      </w:r>
      <w:r w:rsidR="006D1E89">
        <w:t xml:space="preserve">e have a system wide feedback gap that occurs once every 4 slots. Each feedback gap consists of 2 symbols for PSFCH and 1 symbol for RX-TX turn around and 1 symbol for RX-TX turn around. For each PSCCH-PSSCH transmission, the corresponding PSFCH resource is mapped to 1RB in the next occurrence of the feedback gap. Those details are illustrated in figures 1 and 2. </w:t>
      </w:r>
    </w:p>
    <w:p w14:paraId="1B452BB7" w14:textId="77777777" w:rsidR="006D1E89" w:rsidRDefault="006D1E89" w:rsidP="006D1E89">
      <w:pPr>
        <w:keepNext/>
      </w:pPr>
      <w:r w:rsidRPr="004A2835">
        <w:rPr>
          <w:lang w:val="en-US"/>
        </w:rPr>
        <w:object w:dxaOrig="8145" w:dyaOrig="3975" w14:anchorId="6C9AD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98pt" o:ole="">
            <v:imagedata r:id="rId11" o:title=""/>
          </v:shape>
          <o:OLEObject Type="Embed" ProgID="Visio.Drawing.11" ShapeID="_x0000_i1025" DrawAspect="Content" ObjectID="_1635609762" r:id="rId12"/>
        </w:object>
      </w:r>
    </w:p>
    <w:p w14:paraId="47AAD223" w14:textId="326F4201" w:rsidR="006D1E89" w:rsidRDefault="006D1E89" w:rsidP="006D1E89">
      <w:pPr>
        <w:pStyle w:val="Caption"/>
        <w:jc w:val="center"/>
      </w:pPr>
      <w:r>
        <w:t xml:space="preserve">Figure </w:t>
      </w:r>
      <w:r>
        <w:fldChar w:fldCharType="begin"/>
      </w:r>
      <w:r>
        <w:instrText xml:space="preserve"> SEQ Figure \* ARABIC </w:instrText>
      </w:r>
      <w:r>
        <w:fldChar w:fldCharType="separate"/>
      </w:r>
      <w:r w:rsidR="005768DA">
        <w:rPr>
          <w:noProof/>
        </w:rPr>
        <w:t>1</w:t>
      </w:r>
      <w:r>
        <w:fldChar w:fldCharType="end"/>
      </w:r>
      <w:r>
        <w:t>. System wide PSFCH feedback structure</w:t>
      </w:r>
    </w:p>
    <w:p w14:paraId="7F4C6D91" w14:textId="77777777" w:rsidR="006D1E89" w:rsidRDefault="006D1E89" w:rsidP="006D1E89">
      <w:pPr>
        <w:keepNext/>
        <w:jc w:val="center"/>
      </w:pPr>
      <w:r>
        <w:object w:dxaOrig="8125" w:dyaOrig="7609" w14:anchorId="0AA5B7EE">
          <v:shape id="_x0000_i1026" type="#_x0000_t75" style="width:330.75pt;height:309.75pt" o:ole="">
            <v:imagedata r:id="rId13" o:title=""/>
          </v:shape>
          <o:OLEObject Type="Embed" ProgID="Visio.Drawing.15" ShapeID="_x0000_i1026" DrawAspect="Content" ObjectID="_1635609763" r:id="rId14"/>
        </w:object>
      </w:r>
    </w:p>
    <w:p w14:paraId="32144040" w14:textId="39EDA5BB" w:rsidR="006D1E89" w:rsidRDefault="006D1E89" w:rsidP="006D1E89">
      <w:pPr>
        <w:pStyle w:val="Caption"/>
        <w:jc w:val="center"/>
      </w:pPr>
      <w:r>
        <w:t xml:space="preserve">Figure </w:t>
      </w:r>
      <w:r>
        <w:fldChar w:fldCharType="begin"/>
      </w:r>
      <w:r>
        <w:instrText xml:space="preserve"> SEQ Figure \* ARABIC </w:instrText>
      </w:r>
      <w:r>
        <w:fldChar w:fldCharType="separate"/>
      </w:r>
      <w:r w:rsidR="005768DA">
        <w:rPr>
          <w:noProof/>
        </w:rPr>
        <w:t>2</w:t>
      </w:r>
      <w:r>
        <w:fldChar w:fldCharType="end"/>
      </w:r>
      <w:r>
        <w:t>.</w:t>
      </w:r>
      <w:r w:rsidRPr="004A283F">
        <w:t xml:space="preserve"> An example for HARQ feedback resource mapping</w:t>
      </w:r>
    </w:p>
    <w:p w14:paraId="4DF1925E" w14:textId="77777777" w:rsidR="006D1E89" w:rsidRDefault="006D1E89" w:rsidP="006D1E89"/>
    <w:p w14:paraId="6EB9FBC2" w14:textId="390820E2" w:rsidR="006D1E89" w:rsidRDefault="006D1E89" w:rsidP="00C92DD7">
      <w:r>
        <w:t xml:space="preserve">Each UE maintains a list of potential PSFCH to transmit based on whether it has received the previous PSCCH -PSSCH transmission or not. If the list is less than 5 different PSFCHs, then the UE will transmit all PSFCH in the list concurrently, otherwise it will randomly choose 5 out that list to transmit. Furthermore, if 2 PSFCHs occupies the same RB allocation, we will randomly drop one of the 2 for the shake of simplicity. </w:t>
      </w:r>
    </w:p>
    <w:p w14:paraId="07E2577F" w14:textId="2FA232F1" w:rsidR="00C92DD7" w:rsidRDefault="00C92DD7" w:rsidP="00C92DD7">
      <w:r>
        <w:t>We assume that MPR = 0dB if only 1 PSFCH is transmitted. When there are multiple concurrent PSFCH, an MPR of 8dB is applied</w:t>
      </w:r>
      <w:r w:rsidR="000173E6">
        <w:t>.</w:t>
      </w:r>
      <w:r>
        <w:t xml:space="preserve"> The 8dB value is derived from our initial evaluation of 7dB and add 1 dB margin to account for the fact that we have not yet sweep all possible waveform in an exhaustive manner.</w:t>
      </w:r>
    </w:p>
    <w:p w14:paraId="6FFC35EA" w14:textId="7C89109A" w:rsidR="006D1E89" w:rsidRDefault="006D1E89" w:rsidP="006D1E89">
      <w:r>
        <w:t xml:space="preserve">For IBE, </w:t>
      </w:r>
      <w:r w:rsidR="00C92DD7">
        <w:t>t</w:t>
      </w:r>
      <w:r>
        <w:t xml:space="preserve">he mask will be calculated for each of the </w:t>
      </w:r>
      <w:r w:rsidR="000173E6">
        <w:t>contiguous</w:t>
      </w:r>
      <w:r>
        <w:t xml:space="preserve"> RB cluster following. Then for each of the non-allocated RB, the final IBE limit is the </w:t>
      </w:r>
      <w:r w:rsidR="00C92DD7">
        <w:t>max</w:t>
      </w:r>
      <w:r>
        <w:t xml:space="preserve"> of the corresponding limits of the individual masks.</w:t>
      </w:r>
    </w:p>
    <w:p w14:paraId="39AD3656" w14:textId="314EE7F8" w:rsidR="006D1E89" w:rsidRDefault="006D1E89" w:rsidP="006D1E89">
      <w:r>
        <w:t xml:space="preserve">For inter-modulation (IMD), we currently model IMD3 as follow. For each pair </w:t>
      </w:r>
      <w:r w:rsidRPr="00446C8F">
        <w:t>RB2 &gt; RB1</w:t>
      </w:r>
      <w:r>
        <w:t xml:space="preserve"> of allocated PSFCH, the RB where IMD3 product is expected to land are:</w:t>
      </w:r>
    </w:p>
    <w:p w14:paraId="450A6379" w14:textId="77777777" w:rsidR="006D1E89" w:rsidRPr="003C717C" w:rsidRDefault="006D1E89" w:rsidP="006D1E89">
      <w:pPr>
        <w:numPr>
          <w:ilvl w:val="2"/>
          <w:numId w:val="47"/>
        </w:numPr>
        <w:rPr>
          <w:lang w:val="en-US"/>
        </w:rPr>
      </w:pPr>
      <w:r w:rsidRPr="003C717C">
        <w:rPr>
          <w:lang w:val="en-US"/>
        </w:rPr>
        <w:t>IMD RB1 = RB1 - |RB2 – RB1| (left)</w:t>
      </w:r>
    </w:p>
    <w:p w14:paraId="3A96F7D1" w14:textId="77777777" w:rsidR="006D1E89" w:rsidRPr="003C717C" w:rsidRDefault="006D1E89" w:rsidP="006D1E89">
      <w:pPr>
        <w:numPr>
          <w:ilvl w:val="2"/>
          <w:numId w:val="47"/>
        </w:numPr>
        <w:rPr>
          <w:lang w:val="en-US"/>
        </w:rPr>
      </w:pPr>
      <w:r w:rsidRPr="003C717C">
        <w:rPr>
          <w:lang w:val="en-US"/>
        </w:rPr>
        <w:t>IMD RB2 = RB2 + |RB2 – RB1| (right)</w:t>
      </w:r>
    </w:p>
    <w:p w14:paraId="4CADE51E" w14:textId="49FA7CF0" w:rsidR="006D1E89" w:rsidRDefault="006D1E89" w:rsidP="006D1E89">
      <w:r>
        <w:t>For each of the IMD3 RB location</w:t>
      </w:r>
      <w:r w:rsidR="00EB4813">
        <w:t>s</w:t>
      </w:r>
      <w:r>
        <w:t>, the leakage is modelled as [25] dB below the PSD level of the PSFCH waveform.</w:t>
      </w:r>
    </w:p>
    <w:p w14:paraId="463B81B8" w14:textId="3B25F108" w:rsidR="006D1E89" w:rsidRDefault="006D1E89" w:rsidP="006D1E89">
      <w:r>
        <w:t>In th</w:t>
      </w:r>
      <w:r w:rsidR="00EB4813">
        <w:t>is</w:t>
      </w:r>
      <w:r>
        <w:t xml:space="preserve"> simulation, we have a special condition to simulate ‘genie PSFCH transmission and reception’. In this setting, all potential PSFCH of all UE are assumed to be sent and successfully received by all other UEs. As such, it represents the theoretical limit of the system. The gap between this theoretical limit and the realistic setting will represent the cost of limiting the number of concurrent PSFCH transmissions.</w:t>
      </w:r>
    </w:p>
    <w:p w14:paraId="73EC572B" w14:textId="5CFF71EF" w:rsidR="006D1E89" w:rsidRDefault="006D1E89" w:rsidP="006D1E89">
      <w:r>
        <w:t>The traffic model is the NR medium aperiodic model. All UE</w:t>
      </w:r>
      <w:r w:rsidR="00F13003">
        <w:t>s</w:t>
      </w:r>
      <w:r>
        <w:t xml:space="preserve"> that </w:t>
      </w:r>
      <w:r w:rsidR="00F13003">
        <w:t>are</w:t>
      </w:r>
      <w:r>
        <w:t xml:space="preserve"> 320m away from the transmitting UE are its intended receiver. Each packet is transmitted once, then</w:t>
      </w:r>
      <w:r w:rsidR="00F13003">
        <w:t xml:space="preserve"> transmission</w:t>
      </w:r>
      <w:r>
        <w:t xml:space="preserve"> ke</w:t>
      </w:r>
      <w:r w:rsidR="00F13003">
        <w:t>eps</w:t>
      </w:r>
      <w:r>
        <w:t xml:space="preserve"> on repeat</w:t>
      </w:r>
      <w:r w:rsidR="00F13003">
        <w:t>ing</w:t>
      </w:r>
      <w:r>
        <w:t xml:space="preserve"> as long as the </w:t>
      </w:r>
      <w:r w:rsidR="00F13003">
        <w:t xml:space="preserve">packet delay budget, </w:t>
      </w:r>
      <w:proofErr w:type="spellStart"/>
      <w:r>
        <w:t>pdb</w:t>
      </w:r>
      <w:proofErr w:type="spellEnd"/>
      <w:r w:rsidR="00F13003">
        <w:t>,</w:t>
      </w:r>
      <w:r>
        <w:t xml:space="preserve"> has not yet run out and at least </w:t>
      </w:r>
      <w:r w:rsidR="0048029C">
        <w:t xml:space="preserve">one </w:t>
      </w:r>
      <w:r>
        <w:t xml:space="preserve">PSFCH is </w:t>
      </w:r>
      <w:r w:rsidR="00F13003">
        <w:t xml:space="preserve">not </w:t>
      </w:r>
      <w:r>
        <w:t>received (e.g. at least one of the intended receiver</w:t>
      </w:r>
      <w:r w:rsidR="00F13003">
        <w:t>s</w:t>
      </w:r>
      <w:r>
        <w:t xml:space="preserve"> cannot receive the packet). Further detail</w:t>
      </w:r>
      <w:r w:rsidR="00F13003">
        <w:t>s</w:t>
      </w:r>
      <w:r>
        <w:t xml:space="preserve"> of modelling (</w:t>
      </w:r>
      <w:proofErr w:type="spellStart"/>
      <w:r>
        <w:t>e.g</w:t>
      </w:r>
      <w:proofErr w:type="spellEnd"/>
      <w:r>
        <w:t xml:space="preserve"> drop, channel model, etc.) follows that in [</w:t>
      </w:r>
      <w:r w:rsidR="00935D74">
        <w:t>5</w:t>
      </w:r>
      <w:r>
        <w:t xml:space="preserve">]. The PRR curves </w:t>
      </w:r>
      <w:r w:rsidR="00C92205">
        <w:t>are</w:t>
      </w:r>
      <w:r>
        <w:t xml:space="preserve"> shown in figure 3.</w:t>
      </w:r>
    </w:p>
    <w:p w14:paraId="4CD8F8F8" w14:textId="35DACAE9" w:rsidR="006D1E89" w:rsidRDefault="006D1E89" w:rsidP="006D1E89">
      <w:r w:rsidRPr="0069008C">
        <w:rPr>
          <w:noProof/>
        </w:rPr>
        <w:lastRenderedPageBreak/>
        <w:drawing>
          <wp:inline distT="0" distB="0" distL="0" distR="0" wp14:anchorId="6BA7BF9F" wp14:editId="1D6F279B">
            <wp:extent cx="6115685" cy="46837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4683760"/>
                    </a:xfrm>
                    <a:prstGeom prst="rect">
                      <a:avLst/>
                    </a:prstGeom>
                  </pic:spPr>
                </pic:pic>
              </a:graphicData>
            </a:graphic>
          </wp:inline>
        </w:drawing>
      </w:r>
    </w:p>
    <w:p w14:paraId="173D2314" w14:textId="5269EE11" w:rsidR="00D12762" w:rsidRDefault="00D12762" w:rsidP="00D12762">
      <w:pPr>
        <w:pStyle w:val="Caption"/>
        <w:jc w:val="center"/>
      </w:pPr>
      <w:r>
        <w:t>Figure 3.</w:t>
      </w:r>
      <w:r w:rsidRPr="004A283F">
        <w:t xml:space="preserve"> </w:t>
      </w:r>
      <w:r>
        <w:t>UE distance Vs PRR</w:t>
      </w:r>
    </w:p>
    <w:p w14:paraId="25A71E2B" w14:textId="77777777" w:rsidR="00D12762" w:rsidRPr="00AA54E7" w:rsidRDefault="00D12762" w:rsidP="006D1E89"/>
    <w:p w14:paraId="5463C703" w14:textId="5F93C388" w:rsidR="008B251D" w:rsidRPr="002A4121" w:rsidRDefault="006D1E89" w:rsidP="008B251D">
      <w:pPr>
        <w:autoSpaceDE w:val="0"/>
        <w:autoSpaceDN w:val="0"/>
        <w:spacing w:after="0"/>
      </w:pPr>
      <w:r>
        <w:rPr>
          <w:lang w:val="en-US"/>
        </w:rPr>
        <w:t xml:space="preserve">As we can see, the gap between the genie </w:t>
      </w:r>
      <w:r w:rsidRPr="008B251D">
        <w:rPr>
          <w:lang w:val="en-US"/>
        </w:rPr>
        <w:t xml:space="preserve">PSFCH setting and the realistic setting is minimal. </w:t>
      </w:r>
      <w:proofErr w:type="gramStart"/>
      <w:r w:rsidRPr="008B251D">
        <w:rPr>
          <w:lang w:val="en-US"/>
        </w:rPr>
        <w:t>So</w:t>
      </w:r>
      <w:proofErr w:type="gramEnd"/>
      <w:r w:rsidRPr="008B251D">
        <w:rPr>
          <w:lang w:val="en-US"/>
        </w:rPr>
        <w:t xml:space="preserve"> we think N&lt;=5 will be </w:t>
      </w:r>
      <w:r w:rsidRPr="002A4121">
        <w:rPr>
          <w:lang w:val="en-US"/>
        </w:rPr>
        <w:t xml:space="preserve">a good starting point for RAN4 to evaluate MPR/A-MPR requirements.  </w:t>
      </w:r>
      <w:r w:rsidR="008B251D" w:rsidRPr="002A4121">
        <w:t>Based on th</w:t>
      </w:r>
      <w:r w:rsidR="002A4121" w:rsidRPr="002A4121">
        <w:t>is</w:t>
      </w:r>
      <w:r w:rsidR="008B251D" w:rsidRPr="002A4121">
        <w:t xml:space="preserve"> MPR and system performance study, N&gt;1 simultaneous </w:t>
      </w:r>
      <w:r w:rsidR="0033436D">
        <w:t>PSFCH</w:t>
      </w:r>
      <w:r w:rsidR="008B251D" w:rsidRPr="002A4121">
        <w:t xml:space="preserve"> transmission</w:t>
      </w:r>
      <w:r w:rsidR="002A4121" w:rsidRPr="002A4121">
        <w:t>s</w:t>
      </w:r>
      <w:r w:rsidR="008B251D" w:rsidRPr="002A4121">
        <w:t xml:space="preserve"> </w:t>
      </w:r>
      <w:r w:rsidR="002A4121" w:rsidRPr="002A4121">
        <w:t>are</w:t>
      </w:r>
      <w:r w:rsidR="008B251D" w:rsidRPr="002A4121">
        <w:t xml:space="preserve"> </w:t>
      </w:r>
      <w:r w:rsidR="00E67730" w:rsidRPr="002A4121">
        <w:t>possible</w:t>
      </w:r>
      <w:r w:rsidR="0017666C" w:rsidRPr="002A4121">
        <w:t>.</w:t>
      </w:r>
    </w:p>
    <w:p w14:paraId="3AD40EBF" w14:textId="77777777" w:rsidR="006D1E89" w:rsidRPr="002A4121" w:rsidRDefault="006D1E89" w:rsidP="006D1E89">
      <w:pPr>
        <w:rPr>
          <w:lang w:val="en-US"/>
        </w:rPr>
      </w:pPr>
    </w:p>
    <w:p w14:paraId="74468841" w14:textId="466CCFFE" w:rsidR="006D1E89" w:rsidRPr="002A4121" w:rsidRDefault="006D1E89" w:rsidP="006D1E89">
      <w:pPr>
        <w:rPr>
          <w:b/>
          <w:iCs/>
          <w:lang w:val="en-US"/>
        </w:rPr>
      </w:pPr>
      <w:r w:rsidRPr="002A4121">
        <w:rPr>
          <w:b/>
          <w:iCs/>
          <w:lang w:val="en-US"/>
        </w:rPr>
        <w:t xml:space="preserve">Observation </w:t>
      </w:r>
      <w:r w:rsidR="00C92DD7" w:rsidRPr="002A4121">
        <w:rPr>
          <w:b/>
          <w:iCs/>
          <w:lang w:val="en-US"/>
        </w:rPr>
        <w:t>3</w:t>
      </w:r>
      <w:r w:rsidRPr="002A4121">
        <w:rPr>
          <w:b/>
          <w:iCs/>
          <w:lang w:val="en-US"/>
        </w:rPr>
        <w:t>: With up to 5 concurrent PSFCH transmissions,</w:t>
      </w:r>
      <w:r w:rsidR="00C92DD7" w:rsidRPr="002A4121">
        <w:rPr>
          <w:b/>
          <w:iCs/>
          <w:lang w:val="en-US"/>
        </w:rPr>
        <w:t xml:space="preserve"> and a simple rule to decide number of transmitted PSFCH, </w:t>
      </w:r>
      <w:r w:rsidRPr="002A4121">
        <w:rPr>
          <w:b/>
          <w:iCs/>
          <w:lang w:val="en-US"/>
        </w:rPr>
        <w:t>the system performance is already close to optimal.</w:t>
      </w:r>
    </w:p>
    <w:p w14:paraId="57740FA0" w14:textId="04C6027A" w:rsidR="00D276EB" w:rsidRPr="002A4121" w:rsidRDefault="00D276EB" w:rsidP="006D1E89">
      <w:pPr>
        <w:rPr>
          <w:b/>
          <w:iCs/>
          <w:lang w:val="en-US"/>
        </w:rPr>
      </w:pPr>
      <w:r w:rsidRPr="002A4121">
        <w:rPr>
          <w:b/>
          <w:iCs/>
          <w:lang w:val="en-US"/>
        </w:rPr>
        <w:t xml:space="preserve">Proposal 5: </w:t>
      </w:r>
      <w:r w:rsidR="0017666C" w:rsidRPr="002A4121">
        <w:rPr>
          <w:b/>
          <w:iCs/>
          <w:lang w:val="en-US"/>
        </w:rPr>
        <w:t xml:space="preserve">Simultaneous </w:t>
      </w:r>
      <w:r w:rsidR="0033436D">
        <w:rPr>
          <w:b/>
          <w:iCs/>
          <w:lang w:val="en-US"/>
        </w:rPr>
        <w:t>PSFCH</w:t>
      </w:r>
      <w:r w:rsidRPr="002A4121">
        <w:rPr>
          <w:b/>
          <w:iCs/>
          <w:lang w:val="en-US"/>
        </w:rPr>
        <w:t xml:space="preserve"> transmissions, N&gt;1 is possible </w:t>
      </w:r>
      <w:r w:rsidR="006350A2">
        <w:rPr>
          <w:b/>
          <w:iCs/>
          <w:lang w:val="en-US"/>
        </w:rPr>
        <w:t>while meeting</w:t>
      </w:r>
      <w:r w:rsidRPr="002A4121">
        <w:rPr>
          <w:b/>
          <w:iCs/>
          <w:lang w:val="en-US"/>
        </w:rPr>
        <w:t xml:space="preserve"> MPR requirements</w:t>
      </w:r>
    </w:p>
    <w:p w14:paraId="128397A6" w14:textId="226302AB" w:rsidR="002C1741" w:rsidRPr="00844B75" w:rsidRDefault="002C1741" w:rsidP="006D1E89">
      <w:pPr>
        <w:rPr>
          <w:i/>
          <w:iCs/>
          <w:lang w:val="en-US"/>
        </w:rPr>
      </w:pPr>
      <w:r w:rsidRPr="00844B75">
        <w:rPr>
          <w:b/>
          <w:bCs/>
          <w:lang w:val="en-US"/>
        </w:rPr>
        <w:t xml:space="preserve">Proposal </w:t>
      </w:r>
      <w:r w:rsidR="00D276EB">
        <w:rPr>
          <w:b/>
          <w:bCs/>
          <w:lang w:val="en-US"/>
        </w:rPr>
        <w:t>6</w:t>
      </w:r>
      <w:r w:rsidRPr="00844B75">
        <w:rPr>
          <w:b/>
          <w:bCs/>
          <w:lang w:val="en-US"/>
        </w:rPr>
        <w:t>:</w:t>
      </w:r>
      <w:r>
        <w:rPr>
          <w:b/>
          <w:bCs/>
          <w:lang w:val="en-US"/>
        </w:rPr>
        <w:t xml:space="preserve"> The discussion on system performance impact should belong to RAN1</w:t>
      </w:r>
    </w:p>
    <w:p w14:paraId="3CA22524" w14:textId="4A522AD4" w:rsidR="00911ED3" w:rsidRDefault="00683177" w:rsidP="00911ED3">
      <w:pPr>
        <w:pStyle w:val="Heading1"/>
        <w:rPr>
          <w:lang w:val="en-US"/>
        </w:rPr>
      </w:pPr>
      <w:r>
        <w:rPr>
          <w:lang w:val="en-US"/>
        </w:rPr>
        <w:t>Conclusion</w:t>
      </w:r>
    </w:p>
    <w:p w14:paraId="52576EAE" w14:textId="79613EA5" w:rsidR="00550C63" w:rsidRDefault="00C67AA7" w:rsidP="00550C63">
      <w:r>
        <w:t xml:space="preserve">Three </w:t>
      </w:r>
      <w:r w:rsidR="0033436D">
        <w:t>PSFCH</w:t>
      </w:r>
      <w:r>
        <w:t xml:space="preserve"> simulations were done to determine the MPRs required for multi-tone operation. Results indicate that </w:t>
      </w:r>
      <w:r w:rsidR="0067608C">
        <w:t>an</w:t>
      </w:r>
      <w:r>
        <w:t xml:space="preserve"> MPR of approximately 7dB is required for the cases which have the largest possible tone separations.</w:t>
      </w:r>
    </w:p>
    <w:p w14:paraId="6ED3F168" w14:textId="687A801B" w:rsidR="00F74244" w:rsidRDefault="00F74244" w:rsidP="00F74244">
      <w:pPr>
        <w:rPr>
          <w:b/>
          <w:lang w:val="en-US"/>
        </w:rPr>
      </w:pPr>
      <w:r>
        <w:rPr>
          <w:b/>
          <w:lang w:val="en-US"/>
        </w:rPr>
        <w:t>Observation</w:t>
      </w:r>
      <w:r w:rsidR="0067608C">
        <w:rPr>
          <w:b/>
          <w:lang w:val="en-US"/>
        </w:rPr>
        <w:t>1</w:t>
      </w:r>
      <w:r w:rsidRPr="00AF618E">
        <w:rPr>
          <w:b/>
          <w:lang w:val="en-US"/>
        </w:rPr>
        <w:t xml:space="preserve">: </w:t>
      </w:r>
      <w:r w:rsidR="0033436D">
        <w:rPr>
          <w:b/>
          <w:lang w:val="en-US"/>
        </w:rPr>
        <w:t>PSFCH</w:t>
      </w:r>
      <w:r>
        <w:rPr>
          <w:b/>
          <w:lang w:val="en-US"/>
        </w:rPr>
        <w:t xml:space="preserve"> channels with larger tone separations create spurs that fall far outside the band edge and require a larger MPR than those channels with smaller tone separations.</w:t>
      </w:r>
    </w:p>
    <w:p w14:paraId="40FFAC4C" w14:textId="0B945AFA" w:rsidR="00C55EB3" w:rsidRDefault="00C55EB3" w:rsidP="00C55EB3">
      <w:pPr>
        <w:rPr>
          <w:b/>
          <w:lang w:val="en-US"/>
        </w:rPr>
      </w:pPr>
      <w:r>
        <w:rPr>
          <w:b/>
          <w:lang w:val="en-US"/>
        </w:rPr>
        <w:t>Observation2</w:t>
      </w:r>
      <w:r w:rsidRPr="00AF618E">
        <w:rPr>
          <w:b/>
          <w:lang w:val="en-US"/>
        </w:rPr>
        <w:t xml:space="preserve">: </w:t>
      </w:r>
      <w:r>
        <w:rPr>
          <w:b/>
          <w:lang w:val="en-US"/>
        </w:rPr>
        <w:t xml:space="preserve">The required MPR would be </w:t>
      </w:r>
      <w:proofErr w:type="gramStart"/>
      <w:r>
        <w:rPr>
          <w:b/>
          <w:lang w:val="en-US"/>
        </w:rPr>
        <w:t>similar to</w:t>
      </w:r>
      <w:proofErr w:type="gramEnd"/>
      <w:r>
        <w:rPr>
          <w:b/>
          <w:lang w:val="en-US"/>
        </w:rPr>
        <w:t xml:space="preserve"> the MPRs for LTE multi-cluster waveforms</w:t>
      </w:r>
    </w:p>
    <w:p w14:paraId="35A79CAF" w14:textId="42B8E871" w:rsidR="00E01E37" w:rsidRPr="00190501" w:rsidRDefault="00E01E37" w:rsidP="00E01E37">
      <w:pPr>
        <w:rPr>
          <w:b/>
          <w:lang w:val="en-US"/>
        </w:rPr>
      </w:pPr>
      <w:r w:rsidRPr="00190501">
        <w:rPr>
          <w:b/>
          <w:lang w:val="en-US"/>
        </w:rPr>
        <w:t xml:space="preserve">Proposal </w:t>
      </w:r>
      <w:r>
        <w:rPr>
          <w:b/>
          <w:lang w:val="en-US"/>
        </w:rPr>
        <w:t>1</w:t>
      </w:r>
      <w:r w:rsidRPr="00190501">
        <w:rPr>
          <w:b/>
          <w:lang w:val="en-US"/>
        </w:rPr>
        <w:t xml:space="preserve">: For multi-cluster waveforms a composite </w:t>
      </w:r>
      <w:r>
        <w:rPr>
          <w:b/>
          <w:lang w:val="en-US"/>
        </w:rPr>
        <w:t xml:space="preserve">IBE </w:t>
      </w:r>
      <w:r w:rsidRPr="00190501">
        <w:rPr>
          <w:b/>
          <w:lang w:val="en-US"/>
        </w:rPr>
        <w:t>mask should be created from the maximum of the individual cluster masks.</w:t>
      </w:r>
    </w:p>
    <w:p w14:paraId="7A32AF9A" w14:textId="4ABA1AEE" w:rsidR="00E01E37" w:rsidRPr="00190501" w:rsidRDefault="00E01E37" w:rsidP="00E01E37">
      <w:pPr>
        <w:rPr>
          <w:b/>
          <w:lang w:val="en-US"/>
        </w:rPr>
      </w:pPr>
      <w:r w:rsidRPr="00190501">
        <w:rPr>
          <w:b/>
          <w:lang w:val="en-US"/>
        </w:rPr>
        <w:lastRenderedPageBreak/>
        <w:t xml:space="preserve">Proposal </w:t>
      </w:r>
      <w:r>
        <w:rPr>
          <w:b/>
          <w:lang w:val="en-US"/>
        </w:rPr>
        <w:t>2</w:t>
      </w:r>
      <w:r w:rsidRPr="00190501">
        <w:rPr>
          <w:b/>
          <w:lang w:val="en-US"/>
        </w:rPr>
        <w:t xml:space="preserve">: For in-band RB locations that have IMD’s due to intermixing of clusters </w:t>
      </w:r>
      <w:r>
        <w:rPr>
          <w:b/>
          <w:lang w:val="en-US"/>
        </w:rPr>
        <w:t>it is proposed</w:t>
      </w:r>
      <w:r w:rsidRPr="00190501">
        <w:rPr>
          <w:b/>
          <w:lang w:val="en-US"/>
        </w:rPr>
        <w:t xml:space="preserve"> selecting from 1 of 2 options</w:t>
      </w:r>
      <w:r>
        <w:rPr>
          <w:b/>
          <w:lang w:val="en-US"/>
        </w:rPr>
        <w:t xml:space="preserve"> given below</w:t>
      </w:r>
      <w:r w:rsidRPr="00190501">
        <w:rPr>
          <w:b/>
          <w:lang w:val="en-US"/>
        </w:rPr>
        <w:t>:</w:t>
      </w:r>
    </w:p>
    <w:p w14:paraId="05879279" w14:textId="77777777" w:rsidR="00E01E37" w:rsidRPr="00190501" w:rsidRDefault="00E01E37" w:rsidP="00E01E37">
      <w:pPr>
        <w:pStyle w:val="ListParagraph"/>
        <w:numPr>
          <w:ilvl w:val="0"/>
          <w:numId w:val="46"/>
        </w:numPr>
        <w:rPr>
          <w:b/>
          <w:lang w:val="en-US"/>
        </w:rPr>
      </w:pPr>
      <w:r w:rsidRPr="00190501">
        <w:rPr>
          <w:b/>
          <w:lang w:val="en-US"/>
        </w:rPr>
        <w:t>Specify exception</w:t>
      </w:r>
      <w:r>
        <w:rPr>
          <w:b/>
          <w:lang w:val="en-US"/>
        </w:rPr>
        <w:t>s for IMDs</w:t>
      </w:r>
    </w:p>
    <w:p w14:paraId="3D0AD23F" w14:textId="77777777" w:rsidR="00E01E37" w:rsidRPr="00190501" w:rsidRDefault="00E01E37" w:rsidP="00E01E37">
      <w:pPr>
        <w:pStyle w:val="ListParagraph"/>
        <w:numPr>
          <w:ilvl w:val="0"/>
          <w:numId w:val="46"/>
        </w:numPr>
        <w:rPr>
          <w:b/>
          <w:lang w:val="en-US"/>
        </w:rPr>
      </w:pPr>
      <w:r w:rsidRPr="00190501">
        <w:rPr>
          <w:b/>
          <w:lang w:val="en-US"/>
        </w:rPr>
        <w:t>Specify an MPR relaxation</w:t>
      </w:r>
      <w:r>
        <w:rPr>
          <w:b/>
          <w:lang w:val="en-US"/>
        </w:rPr>
        <w:t xml:space="preserve"> for those tone combinations</w:t>
      </w:r>
      <w:r w:rsidRPr="00190501">
        <w:rPr>
          <w:b/>
          <w:lang w:val="en-US"/>
        </w:rPr>
        <w:t xml:space="preserve"> in order to meet the composite</w:t>
      </w:r>
      <w:r>
        <w:rPr>
          <w:b/>
          <w:lang w:val="en-US"/>
        </w:rPr>
        <w:t xml:space="preserve"> IBE</w:t>
      </w:r>
      <w:r w:rsidRPr="00190501">
        <w:rPr>
          <w:b/>
          <w:lang w:val="en-US"/>
        </w:rPr>
        <w:t xml:space="preserve"> mask</w:t>
      </w:r>
    </w:p>
    <w:p w14:paraId="5572F180" w14:textId="77777777" w:rsidR="00E01E37" w:rsidRDefault="00E01E37" w:rsidP="00C55EB3">
      <w:pPr>
        <w:rPr>
          <w:b/>
          <w:lang w:val="en-US"/>
        </w:rPr>
      </w:pPr>
    </w:p>
    <w:p w14:paraId="4362E6A9" w14:textId="60A7FB2B" w:rsidR="00124ACD" w:rsidRPr="00124ACD" w:rsidRDefault="00124ACD" w:rsidP="00124ACD">
      <w:pPr>
        <w:rPr>
          <w:b/>
          <w:lang w:val="en-US"/>
        </w:rPr>
      </w:pPr>
      <w:r w:rsidRPr="00124ACD">
        <w:rPr>
          <w:b/>
          <w:lang w:val="en-US"/>
        </w:rPr>
        <w:t xml:space="preserve">Proposal </w:t>
      </w:r>
      <w:r w:rsidR="00E01E37">
        <w:rPr>
          <w:b/>
          <w:lang w:val="en-US"/>
        </w:rPr>
        <w:t>3</w:t>
      </w:r>
      <w:r w:rsidRPr="00124ACD">
        <w:rPr>
          <w:b/>
          <w:lang w:val="en-US"/>
        </w:rPr>
        <w:t>: Emissions requirements given in Table 1 should be made a part of the V2X A-MPR specification</w:t>
      </w:r>
    </w:p>
    <w:p w14:paraId="3D4B278E" w14:textId="247E704C" w:rsidR="002C1741" w:rsidRDefault="00124ACD" w:rsidP="00C55EB3">
      <w:pPr>
        <w:rPr>
          <w:b/>
          <w:lang w:val="en-US"/>
        </w:rPr>
      </w:pPr>
      <w:r w:rsidRPr="00124ACD">
        <w:rPr>
          <w:b/>
          <w:lang w:val="en-US"/>
        </w:rPr>
        <w:t xml:space="preserve">Proposal </w:t>
      </w:r>
      <w:r w:rsidR="00E01E37">
        <w:rPr>
          <w:b/>
          <w:lang w:val="en-US"/>
        </w:rPr>
        <w:t>4</w:t>
      </w:r>
      <w:r w:rsidRPr="00124ACD">
        <w:rPr>
          <w:b/>
          <w:lang w:val="en-US"/>
        </w:rPr>
        <w:t>: Emissions requirements given in Table 2 should be made a part of the V2X A-MPR specification</w:t>
      </w:r>
    </w:p>
    <w:p w14:paraId="16C02233" w14:textId="5BB712B8" w:rsidR="007073B1" w:rsidRDefault="007073B1" w:rsidP="007073B1">
      <w:pPr>
        <w:rPr>
          <w:b/>
          <w:iCs/>
          <w:lang w:val="en-US"/>
        </w:rPr>
      </w:pPr>
      <w:r w:rsidRPr="004758A8">
        <w:rPr>
          <w:b/>
          <w:iCs/>
          <w:lang w:val="en-US"/>
        </w:rPr>
        <w:t>Observation 3: With up to 5 concurrent PSFCH transmissions, and a simple rule to decide number of transmitted PSFCH, the system performance is already close to optimal.</w:t>
      </w:r>
    </w:p>
    <w:p w14:paraId="195612C9" w14:textId="6BF53777" w:rsidR="00D276EB" w:rsidRPr="006D7FA8" w:rsidRDefault="00D276EB" w:rsidP="007073B1">
      <w:pPr>
        <w:rPr>
          <w:b/>
          <w:iCs/>
          <w:lang w:val="en-US"/>
        </w:rPr>
      </w:pPr>
      <w:r w:rsidRPr="006D7FA8">
        <w:rPr>
          <w:b/>
          <w:iCs/>
          <w:lang w:val="en-US"/>
        </w:rPr>
        <w:t xml:space="preserve">Proposal 5: </w:t>
      </w:r>
      <w:r w:rsidR="0017666C" w:rsidRPr="006D7FA8">
        <w:rPr>
          <w:b/>
          <w:iCs/>
          <w:lang w:val="en-US"/>
        </w:rPr>
        <w:t xml:space="preserve">Simultaneous </w:t>
      </w:r>
      <w:r w:rsidR="0033436D">
        <w:rPr>
          <w:b/>
          <w:iCs/>
          <w:lang w:val="en-US"/>
        </w:rPr>
        <w:t>PSFCH</w:t>
      </w:r>
      <w:r w:rsidRPr="006D7FA8">
        <w:rPr>
          <w:b/>
          <w:iCs/>
          <w:lang w:val="en-US"/>
        </w:rPr>
        <w:t xml:space="preserve"> transmissions, N&gt;1 is possible </w:t>
      </w:r>
      <w:r w:rsidR="006350A2">
        <w:rPr>
          <w:b/>
          <w:iCs/>
          <w:lang w:val="en-US"/>
        </w:rPr>
        <w:t>while meeting</w:t>
      </w:r>
      <w:r w:rsidRPr="006D7FA8">
        <w:rPr>
          <w:b/>
          <w:iCs/>
          <w:lang w:val="en-US"/>
        </w:rPr>
        <w:t xml:space="preserve"> MPR requirements</w:t>
      </w:r>
    </w:p>
    <w:p w14:paraId="21A6CAD5" w14:textId="20C468C5" w:rsidR="007073B1" w:rsidRPr="007073B1" w:rsidRDefault="007073B1" w:rsidP="00C55EB3">
      <w:pPr>
        <w:rPr>
          <w:i/>
          <w:iCs/>
          <w:lang w:val="en-US"/>
        </w:rPr>
      </w:pPr>
      <w:r w:rsidRPr="00844B75">
        <w:rPr>
          <w:b/>
          <w:bCs/>
          <w:lang w:val="en-US"/>
        </w:rPr>
        <w:t xml:space="preserve">Proposal </w:t>
      </w:r>
      <w:r w:rsidR="00D276EB">
        <w:rPr>
          <w:b/>
          <w:bCs/>
          <w:lang w:val="en-US"/>
        </w:rPr>
        <w:t>6</w:t>
      </w:r>
      <w:r w:rsidRPr="00844B75">
        <w:rPr>
          <w:b/>
          <w:bCs/>
          <w:lang w:val="en-US"/>
        </w:rPr>
        <w:t>:</w:t>
      </w:r>
      <w:r>
        <w:rPr>
          <w:b/>
          <w:bCs/>
          <w:lang w:val="en-US"/>
        </w:rPr>
        <w:t xml:space="preserve"> The discussion on system performance impact should belong to RAN1</w:t>
      </w:r>
    </w:p>
    <w:p w14:paraId="33451030" w14:textId="77777777" w:rsidR="0069757C" w:rsidRDefault="0069757C" w:rsidP="00760706">
      <w:pPr>
        <w:pStyle w:val="Heading1"/>
        <w:rPr>
          <w:lang w:val="en-US"/>
        </w:rPr>
      </w:pPr>
      <w:r>
        <w:rPr>
          <w:lang w:val="en-US"/>
        </w:rPr>
        <w:t>Reference</w:t>
      </w:r>
    </w:p>
    <w:p w14:paraId="56CB8DD1" w14:textId="5BC7CA09"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913061</w:t>
      </w:r>
      <w:r w:rsidR="00C347EC">
        <w:rPr>
          <w:rFonts w:eastAsia="SimSun" w:cs="Arial"/>
          <w:b w:val="0"/>
          <w:bCs/>
          <w:noProof w:val="0"/>
          <w:szCs w:val="18"/>
          <w:lang w:eastAsia="en-GB"/>
        </w:rPr>
        <w:t>, “</w:t>
      </w:r>
      <w:r w:rsidR="009253A0">
        <w:rPr>
          <w:rFonts w:eastAsia="Batang" w:cs="Arial"/>
          <w:b w:val="0"/>
          <w:lang w:eastAsia="ko-KR"/>
        </w:rPr>
        <w:t xml:space="preserve">Draft reply </w:t>
      </w:r>
      <w:r w:rsidR="009253A0" w:rsidRPr="004758A8">
        <w:rPr>
          <w:rFonts w:eastAsia="Batang" w:cs="Arial"/>
          <w:b w:val="0"/>
          <w:lang w:eastAsia="ko-KR"/>
        </w:rPr>
        <w:t>LS on simultaneous transmission of</w:t>
      </w:r>
      <w:r w:rsidR="009253A0">
        <w:rPr>
          <w:rFonts w:eastAsia="Batang" w:cs="Arial"/>
          <w:b w:val="0"/>
          <w:lang w:eastAsia="ko-KR"/>
        </w:rPr>
        <w:t xml:space="preserve"> </w:t>
      </w:r>
      <w:r w:rsidR="0033436D">
        <w:rPr>
          <w:rFonts w:eastAsia="Batang" w:cs="Arial"/>
          <w:b w:val="0"/>
          <w:lang w:eastAsia="ko-KR"/>
        </w:rPr>
        <w:t>PSFCH</w:t>
      </w:r>
      <w:r w:rsidR="00C347EC">
        <w:rPr>
          <w:rFonts w:eastAsia="SimSun" w:cs="Arial"/>
          <w:b w:val="0"/>
          <w:bCs/>
          <w:noProof w:val="0"/>
          <w:szCs w:val="18"/>
          <w:lang w:eastAsia="en-GB"/>
        </w:rPr>
        <w:t>”</w:t>
      </w:r>
      <w:r w:rsidR="00AE0D9F" w:rsidRPr="006B57BD">
        <w:rPr>
          <w:rFonts w:eastAsia="SimSun" w:cs="Arial"/>
          <w:b w:val="0"/>
          <w:bCs/>
          <w:noProof w:val="0"/>
          <w:szCs w:val="18"/>
          <w:lang w:eastAsia="en-GB"/>
        </w:rPr>
        <w:t>, RAN</w:t>
      </w:r>
      <w:r>
        <w:rPr>
          <w:rFonts w:eastAsia="SimSun" w:cs="Arial"/>
          <w:b w:val="0"/>
          <w:bCs/>
          <w:noProof w:val="0"/>
          <w:szCs w:val="18"/>
          <w:lang w:eastAsia="en-GB"/>
        </w:rPr>
        <w:t>1</w:t>
      </w:r>
      <w:r w:rsidR="00C347EC">
        <w:rPr>
          <w:rFonts w:eastAsia="SimSun" w:cs="Arial"/>
          <w:b w:val="0"/>
          <w:bCs/>
          <w:noProof w:val="0"/>
          <w:szCs w:val="18"/>
          <w:lang w:eastAsia="en-GB"/>
        </w:rPr>
        <w:t>#</w:t>
      </w:r>
      <w:r w:rsidR="009253A0">
        <w:rPr>
          <w:rFonts w:eastAsia="SimSun" w:cs="Arial"/>
          <w:b w:val="0"/>
          <w:bCs/>
          <w:noProof w:val="0"/>
          <w:szCs w:val="18"/>
          <w:lang w:eastAsia="en-GB"/>
        </w:rPr>
        <w:t>92Bis</w:t>
      </w:r>
      <w:r>
        <w:rPr>
          <w:rFonts w:eastAsia="SimSun" w:cs="Arial"/>
          <w:b w:val="0"/>
          <w:bCs/>
          <w:noProof w:val="0"/>
          <w:szCs w:val="18"/>
          <w:lang w:eastAsia="en-GB"/>
        </w:rPr>
        <w:t xml:space="preserve">, </w:t>
      </w:r>
      <w:r w:rsidR="009253A0">
        <w:rPr>
          <w:rFonts w:eastAsia="SimSun" w:cs="Arial"/>
          <w:b w:val="0"/>
          <w:bCs/>
          <w:noProof w:val="0"/>
          <w:szCs w:val="18"/>
          <w:lang w:eastAsia="en-GB"/>
        </w:rPr>
        <w:t>Chongqing</w:t>
      </w:r>
      <w:r>
        <w:rPr>
          <w:rFonts w:eastAsia="SimSun" w:cs="Arial"/>
          <w:b w:val="0"/>
          <w:bCs/>
          <w:noProof w:val="0"/>
          <w:szCs w:val="18"/>
          <w:lang w:eastAsia="en-GB"/>
        </w:rPr>
        <w:t xml:space="preserve">, </w:t>
      </w:r>
      <w:r w:rsidR="009253A0">
        <w:rPr>
          <w:rFonts w:eastAsia="SimSun" w:cs="Arial"/>
          <w:b w:val="0"/>
          <w:bCs/>
          <w:noProof w:val="0"/>
          <w:szCs w:val="18"/>
          <w:lang w:eastAsia="en-GB"/>
        </w:rPr>
        <w:t>China</w:t>
      </w:r>
      <w:r>
        <w:rPr>
          <w:rFonts w:eastAsia="SimSun" w:cs="Arial"/>
          <w:b w:val="0"/>
          <w:bCs/>
          <w:noProof w:val="0"/>
          <w:szCs w:val="18"/>
          <w:lang w:eastAsia="en-GB"/>
        </w:rPr>
        <w:t xml:space="preserve">, </w:t>
      </w:r>
      <w:r w:rsidR="009253A0">
        <w:rPr>
          <w:rFonts w:eastAsia="SimSun" w:cs="Arial"/>
          <w:b w:val="0"/>
          <w:bCs/>
          <w:noProof w:val="0"/>
          <w:szCs w:val="18"/>
          <w:lang w:eastAsia="en-GB"/>
        </w:rPr>
        <w:t>October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6E6425FA" w14:textId="3DB35583" w:rsidR="00350FEE" w:rsidRPr="004255F0"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 xml:space="preserve">R4-1912301,” on simultaneous transmission of PSFCH”, </w:t>
      </w:r>
      <w:r w:rsidR="00175482">
        <w:rPr>
          <w:rFonts w:eastAsia="SimSun" w:cs="Arial"/>
          <w:b w:val="0"/>
          <w:bCs/>
          <w:noProof w:val="0"/>
          <w:szCs w:val="18"/>
          <w:lang w:eastAsia="en-GB"/>
        </w:rPr>
        <w:t xml:space="preserve">Ericsson, </w:t>
      </w:r>
      <w:r w:rsidRPr="004255F0">
        <w:rPr>
          <w:rFonts w:eastAsia="SimSun" w:cs="Arial"/>
          <w:b w:val="0"/>
          <w:bCs/>
          <w:noProof w:val="0"/>
          <w:szCs w:val="18"/>
          <w:lang w:eastAsia="en-GB"/>
        </w:rPr>
        <w:t>RAN1#92Bis, Chongqing, China, October 2019</w:t>
      </w:r>
    </w:p>
    <w:p w14:paraId="4F66EF91" w14:textId="4FEEAB76" w:rsidR="00350FEE" w:rsidRDefault="004255F0"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 xml:space="preserve">R4-1912306, “On Simultaneous Transmission of PSFCH”, </w:t>
      </w:r>
      <w:proofErr w:type="spellStart"/>
      <w:r w:rsidR="00175482">
        <w:rPr>
          <w:rFonts w:eastAsia="SimSun" w:cs="Arial"/>
          <w:b w:val="0"/>
          <w:bCs/>
          <w:noProof w:val="0"/>
          <w:szCs w:val="18"/>
          <w:lang w:eastAsia="en-GB"/>
        </w:rPr>
        <w:t>Futurewei</w:t>
      </w:r>
      <w:proofErr w:type="spellEnd"/>
      <w:r w:rsidR="00175482">
        <w:rPr>
          <w:rFonts w:eastAsia="SimSun" w:cs="Arial"/>
          <w:b w:val="0"/>
          <w:bCs/>
          <w:noProof w:val="0"/>
          <w:szCs w:val="18"/>
          <w:lang w:eastAsia="en-GB"/>
        </w:rPr>
        <w:t>,</w:t>
      </w:r>
      <w:r w:rsidR="00175482" w:rsidRPr="00175482">
        <w:rPr>
          <w:rFonts w:eastAsia="SimSun" w:cs="Arial"/>
          <w:b w:val="0"/>
          <w:bCs/>
          <w:noProof w:val="0"/>
          <w:szCs w:val="18"/>
          <w:lang w:eastAsia="en-GB"/>
        </w:rPr>
        <w:t xml:space="preserve"> </w:t>
      </w:r>
      <w:r w:rsidR="00175482" w:rsidRPr="004255F0">
        <w:rPr>
          <w:rFonts w:eastAsia="SimSun" w:cs="Arial"/>
          <w:b w:val="0"/>
          <w:bCs/>
          <w:noProof w:val="0"/>
          <w:szCs w:val="18"/>
          <w:lang w:eastAsia="en-GB"/>
        </w:rPr>
        <w:t xml:space="preserve">RAN1#92Bis, </w:t>
      </w:r>
      <w:r w:rsidRPr="004255F0">
        <w:rPr>
          <w:rFonts w:eastAsia="SimSun" w:cs="Arial"/>
          <w:b w:val="0"/>
          <w:bCs/>
          <w:noProof w:val="0"/>
          <w:szCs w:val="18"/>
          <w:lang w:eastAsia="en-GB"/>
        </w:rPr>
        <w:t>Chongqing, China, October 2019</w:t>
      </w:r>
    </w:p>
    <w:p w14:paraId="5BE0FB7D" w14:textId="14E4D9B3" w:rsidR="00AF53CD" w:rsidRPr="004758A8" w:rsidRDefault="00AF53CD" w:rsidP="004758A8">
      <w:pPr>
        <w:pStyle w:val="Header"/>
        <w:numPr>
          <w:ilvl w:val="0"/>
          <w:numId w:val="2"/>
        </w:numPr>
        <w:tabs>
          <w:tab w:val="left" w:pos="1800"/>
        </w:tabs>
        <w:rPr>
          <w:rFonts w:eastAsia="SimSun" w:cs="Arial"/>
          <w:b w:val="0"/>
          <w:bCs/>
          <w:noProof w:val="0"/>
          <w:szCs w:val="18"/>
          <w:lang w:eastAsia="en-GB"/>
        </w:rPr>
      </w:pPr>
      <w:bookmarkStart w:id="2" w:name="_Hlk24026792"/>
      <w:r w:rsidRPr="004758A8">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2A5AEA16" w14:textId="7CD32641" w:rsidR="00071BD5" w:rsidRDefault="00AF53CD" w:rsidP="004758A8">
      <w:pPr>
        <w:autoSpaceDE w:val="0"/>
        <w:autoSpaceDN w:val="0"/>
        <w:spacing w:after="0"/>
        <w:ind w:left="436" w:firstLine="284"/>
        <w:rPr>
          <w:rFonts w:ascii="Arial" w:eastAsia="SimSun" w:hAnsi="Arial" w:cs="Arial"/>
          <w:bCs/>
          <w:sz w:val="18"/>
          <w:szCs w:val="18"/>
          <w:lang w:val="en-US" w:eastAsia="en-GB"/>
        </w:rPr>
      </w:pPr>
      <w:r w:rsidRPr="004758A8">
        <w:rPr>
          <w:rFonts w:ascii="Arial" w:eastAsia="SimSun" w:hAnsi="Arial" w:cs="Arial"/>
          <w:bCs/>
          <w:sz w:val="18"/>
          <w:szCs w:val="18"/>
          <w:lang w:val="en-US" w:eastAsia="en-GB"/>
        </w:rPr>
        <w:t> </w:t>
      </w:r>
      <w:hyperlink r:id="rId16" w:history="1">
        <w:r w:rsidRPr="004758A8">
          <w:rPr>
            <w:rFonts w:eastAsia="SimSun"/>
          </w:rPr>
          <w:t>https://ecfsapi.fcc.gov/file/104030451515194/5GAA%20Band%20Plan%20Ex%20Parte%20-%20FINAL.pdf</w:t>
        </w:r>
      </w:hyperlink>
    </w:p>
    <w:bookmarkEnd w:id="2"/>
    <w:p w14:paraId="4D3F3CCA" w14:textId="5FABA6EE" w:rsidR="00AF53CD" w:rsidRDefault="00AF53CD" w:rsidP="00AF53CD">
      <w:pPr>
        <w:autoSpaceDE w:val="0"/>
        <w:autoSpaceDN w:val="0"/>
        <w:spacing w:after="0"/>
        <w:ind w:left="436" w:firstLine="284"/>
        <w:rPr>
          <w:rFonts w:ascii="Arial" w:eastAsia="SimSun" w:hAnsi="Arial" w:cs="Arial"/>
          <w:bCs/>
          <w:sz w:val="18"/>
          <w:szCs w:val="18"/>
          <w:lang w:val="en-US" w:eastAsia="en-GB"/>
        </w:rPr>
      </w:pPr>
    </w:p>
    <w:p w14:paraId="1B94FC38" w14:textId="11F71C88" w:rsidR="00AF53CD" w:rsidRPr="004758A8" w:rsidRDefault="00AF53CD" w:rsidP="00AF53CD">
      <w:pPr>
        <w:autoSpaceDE w:val="0"/>
        <w:autoSpaceDN w:val="0"/>
        <w:spacing w:after="0"/>
        <w:rPr>
          <w:rFonts w:ascii="Arial" w:eastAsia="SimSun" w:hAnsi="Arial" w:cs="Arial"/>
          <w:bCs/>
          <w:sz w:val="18"/>
          <w:szCs w:val="18"/>
          <w:lang w:val="en-US" w:eastAsia="en-GB"/>
        </w:rPr>
      </w:pPr>
      <w:r>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ab/>
        <w:t xml:space="preserve">  [5]   </w:t>
      </w:r>
      <w:r w:rsidRPr="004758A8">
        <w:rPr>
          <w:rFonts w:ascii="Arial" w:eastAsia="SimSun" w:hAnsi="Arial" w:cs="Arial"/>
          <w:bCs/>
          <w:sz w:val="18"/>
          <w:szCs w:val="18"/>
          <w:lang w:val="en-US" w:eastAsia="en-GB"/>
        </w:rPr>
        <w:t>TR 37.885. Study on Evaluation Methodology of</w:t>
      </w:r>
      <w:r w:rsidR="007131D6">
        <w:rPr>
          <w:rFonts w:ascii="Arial" w:eastAsia="SimSun" w:hAnsi="Arial" w:cs="Arial"/>
          <w:bCs/>
          <w:sz w:val="18"/>
          <w:szCs w:val="18"/>
          <w:lang w:val="en-US" w:eastAsia="en-GB"/>
        </w:rPr>
        <w:t xml:space="preserve"> </w:t>
      </w:r>
      <w:r w:rsidRPr="004758A8">
        <w:rPr>
          <w:rFonts w:ascii="Arial" w:eastAsia="SimSun" w:hAnsi="Arial" w:cs="Arial"/>
          <w:bCs/>
          <w:sz w:val="18"/>
          <w:szCs w:val="18"/>
          <w:lang w:val="en-US" w:eastAsia="en-GB"/>
        </w:rPr>
        <w:t xml:space="preserve">new Vehicle-to-Everything V2X Use Cases for LTE and NR </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9217C" w14:textId="77777777" w:rsidR="00E44137" w:rsidRDefault="00E44137">
      <w:r>
        <w:separator/>
      </w:r>
    </w:p>
  </w:endnote>
  <w:endnote w:type="continuationSeparator" w:id="0">
    <w:p w14:paraId="6235BF8A" w14:textId="77777777" w:rsidR="00E44137" w:rsidRDefault="00E4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B711A" w14:textId="77777777" w:rsidR="00E44137" w:rsidRDefault="00E44137">
      <w:r>
        <w:separator/>
      </w:r>
    </w:p>
  </w:footnote>
  <w:footnote w:type="continuationSeparator" w:id="0">
    <w:p w14:paraId="748F0CB0" w14:textId="77777777" w:rsidR="00E44137" w:rsidRDefault="00E44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5FF3"/>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66C"/>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121"/>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1A8"/>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36D"/>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6439"/>
    <w:rsid w:val="003C675A"/>
    <w:rsid w:val="003C717E"/>
    <w:rsid w:val="003C7753"/>
    <w:rsid w:val="003C786E"/>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8DA"/>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4E12"/>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0A2"/>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A70"/>
    <w:rsid w:val="006D54CC"/>
    <w:rsid w:val="006D6227"/>
    <w:rsid w:val="006D7134"/>
    <w:rsid w:val="006D7223"/>
    <w:rsid w:val="006D7813"/>
    <w:rsid w:val="006D7D36"/>
    <w:rsid w:val="006D7FA8"/>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295A"/>
    <w:rsid w:val="0073334B"/>
    <w:rsid w:val="00733BC3"/>
    <w:rsid w:val="0073413D"/>
    <w:rsid w:val="0073419D"/>
    <w:rsid w:val="007345AE"/>
    <w:rsid w:val="00734C18"/>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63C"/>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38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251D"/>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AB7"/>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BE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A57"/>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93F"/>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A47"/>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276EB"/>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244A"/>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137"/>
    <w:rsid w:val="00E44342"/>
    <w:rsid w:val="00E4441F"/>
    <w:rsid w:val="00E44674"/>
    <w:rsid w:val="00E44EE4"/>
    <w:rsid w:val="00E4542B"/>
    <w:rsid w:val="00E4547D"/>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730"/>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4176017">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fsapi.fcc.gov/file/104030451515194/5GAA%20Band%20Plan%20Ex%20Parte%20-%20FINAL.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02D305-0FF2-4845-A144-963B3CB1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34</TotalTime>
  <Pages>6</Pages>
  <Words>1646</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6</cp:revision>
  <cp:lastPrinted>2019-11-16T21:18:00Z</cp:lastPrinted>
  <dcterms:created xsi:type="dcterms:W3CDTF">2019-11-18T04:06:00Z</dcterms:created>
  <dcterms:modified xsi:type="dcterms:W3CDTF">2019-11-19T03:16:00Z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